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color w:val="000000"/>
          <w:sz w:val="44"/>
          <w:szCs w:val="44"/>
        </w:rPr>
      </w:pPr>
      <w:r>
        <w:rPr>
          <w:rFonts w:hint="eastAsia" w:ascii="仿宋_GB2312"/>
          <w:color w:val="000000"/>
          <w:sz w:val="44"/>
          <w:szCs w:val="44"/>
        </w:rPr>
        <w:t>张家港市审计局审计结果公告</w:t>
      </w:r>
    </w:p>
    <w:p>
      <w:pPr>
        <w:jc w:val="center"/>
        <w:rPr>
          <w:rFonts w:ascii="仿宋_GB2312"/>
          <w:color w:val="000000"/>
          <w:sz w:val="44"/>
          <w:szCs w:val="44"/>
        </w:rPr>
      </w:pPr>
      <w:r>
        <w:rPr>
          <w:rFonts w:hint="eastAsia" w:ascii="仿宋_GB2312"/>
          <w:color w:val="000000"/>
          <w:sz w:val="44"/>
          <w:szCs w:val="44"/>
        </w:rPr>
        <w:t>张家港市审计局关于市文化中心工程</w:t>
      </w:r>
    </w:p>
    <w:p>
      <w:pPr>
        <w:jc w:val="center"/>
        <w:rPr>
          <w:rFonts w:ascii="仿宋_GB2312"/>
          <w:color w:val="000000"/>
          <w:sz w:val="44"/>
          <w:szCs w:val="44"/>
        </w:rPr>
      </w:pPr>
      <w:r>
        <w:rPr>
          <w:rFonts w:hint="eastAsia" w:ascii="仿宋_GB2312"/>
          <w:color w:val="000000"/>
          <w:sz w:val="44"/>
          <w:szCs w:val="44"/>
        </w:rPr>
        <w:t>建设项目竣工决算审计结果</w:t>
      </w:r>
    </w:p>
    <w:p>
      <w:pPr>
        <w:jc w:val="center"/>
        <w:rPr>
          <w:rFonts w:ascii="仿宋_GB2312" w:eastAsia="仿宋_GB2312"/>
          <w:color w:val="000000"/>
          <w:sz w:val="32"/>
          <w:szCs w:val="32"/>
        </w:rPr>
      </w:pPr>
      <w:r>
        <w:rPr>
          <w:rFonts w:hint="eastAsia" w:ascii="仿宋_GB2312" w:hAnsi="仿宋_GB2312" w:eastAsia="仿宋_GB2312" w:cs="仿宋_GB2312"/>
          <w:sz w:val="32"/>
          <w:szCs w:val="32"/>
          <w:lang w:eastAsia="zh-CN"/>
        </w:rPr>
        <w:t>张</w:t>
      </w:r>
      <w:r>
        <w:rPr>
          <w:rFonts w:hint="eastAsia" w:ascii="仿宋_GB2312" w:hAnsi="仿宋_GB2312" w:eastAsia="仿宋_GB2312" w:cs="仿宋_GB2312"/>
          <w:color w:val="000000"/>
          <w:sz w:val="32"/>
          <w:szCs w:val="32"/>
        </w:rPr>
        <w:t>审公告〔20</w:t>
      </w: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号</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根据《中华人民共和国审计法》第二十二条和《江苏省国家建设项目审计监督办法》、《苏州市政府公共工程审计监督办法》的规定，自2011年9月1日起，张家港市审计局对张家港市建筑工务处（以下简称工务处）组织实施的市文化中心工程（以下简称文化中心）建设项目的竣工决算情况进行了审计，并对重要事项进行了必要的延伸和追溯。</w:t>
      </w:r>
    </w:p>
    <w:p>
      <w:pPr>
        <w:numPr>
          <w:ilvl w:val="0"/>
          <w:numId w:val="1"/>
        </w:numPr>
        <w:rPr>
          <w:rFonts w:ascii="仿宋_GB2312" w:hAnsi="黑体" w:eastAsia="仿宋_GB2312"/>
          <w:b/>
          <w:sz w:val="32"/>
          <w:szCs w:val="32"/>
        </w:rPr>
      </w:pPr>
      <w:r>
        <w:rPr>
          <w:rFonts w:hint="eastAsia" w:ascii="仿宋_GB2312" w:hAnsi="黑体" w:eastAsia="仿宋_GB2312"/>
          <w:b/>
          <w:sz w:val="32"/>
          <w:szCs w:val="32"/>
        </w:rPr>
        <w:t>项目基本情况</w:t>
      </w:r>
    </w:p>
    <w:p>
      <w:pPr>
        <w:ind w:firstLine="640" w:firstLineChars="200"/>
        <w:rPr>
          <w:rFonts w:ascii="仿宋_GB2312" w:hAnsi="黑体" w:eastAsia="仿宋_GB2312"/>
          <w:b/>
          <w:sz w:val="32"/>
          <w:szCs w:val="32"/>
        </w:rPr>
      </w:pPr>
      <w:r>
        <w:rPr>
          <w:rFonts w:hint="eastAsia" w:ascii="仿宋_GB2312" w:hAnsi="仿宋" w:eastAsia="仿宋_GB2312"/>
          <w:sz w:val="32"/>
          <w:szCs w:val="32"/>
        </w:rPr>
        <w:t>经张计审〔2004〕033号批复同意市文化广播电视局建设文化中心项目，后经张计投〔2005〕082号、张发改投〔2007〕233号同意追加建筑面积，增加项目投资。根据2006年10月17日市政府批复的《关于市文化中心建设有关情况的汇报》，该项目主要建设内容包括大剧院、图书档案馆群、文化展示馆群、公共服务区、城市展示馆及文化馆（不包括音乐厅），总建筑面积76219平方米，经批复调整后的概算为7.1931亿元（含土地征用及拆迁安置补偿费）。</w:t>
      </w:r>
    </w:p>
    <w:p>
      <w:pPr>
        <w:ind w:firstLine="640" w:firstLineChars="200"/>
        <w:rPr>
          <w:rFonts w:ascii="仿宋_GB2312" w:hAnsi="仿宋" w:eastAsia="仿宋_GB2312"/>
          <w:sz w:val="32"/>
          <w:szCs w:val="32"/>
        </w:rPr>
      </w:pPr>
      <w:r>
        <w:rPr>
          <w:rFonts w:hint="eastAsia" w:ascii="仿宋_GB2312" w:hAnsi="仿宋" w:eastAsia="仿宋_GB2312"/>
          <w:sz w:val="32"/>
          <w:szCs w:val="32"/>
        </w:rPr>
        <w:t>该项目实行代建制，由市建筑工务处组织实施。一期工程于2007年4月开工建设，2009年8月竣工；大剧院工程于2008年4月开工，2010年6月竣工，全部工程于2010年10月通过竣工验收。</w:t>
      </w:r>
    </w:p>
    <w:p>
      <w:pPr>
        <w:ind w:firstLine="640" w:firstLineChars="200"/>
        <w:rPr>
          <w:rFonts w:ascii="仿宋_GB2312" w:hAnsi="仿宋" w:eastAsia="仿宋_GB2312"/>
          <w:sz w:val="32"/>
          <w:szCs w:val="32"/>
        </w:rPr>
      </w:pPr>
      <w:r>
        <w:rPr>
          <w:rFonts w:hint="eastAsia" w:ascii="仿宋_GB2312" w:hAnsi="仿宋" w:eastAsia="仿宋_GB2312"/>
          <w:sz w:val="32"/>
          <w:szCs w:val="32"/>
        </w:rPr>
        <w:t>说明：本报告所列项目总投资，仅指由工务处代建部分投资总额。</w:t>
      </w:r>
    </w:p>
    <w:p>
      <w:pPr>
        <w:ind w:firstLine="645"/>
        <w:rPr>
          <w:rFonts w:ascii="仿宋_GB2312" w:hAnsi="仿宋" w:eastAsia="仿宋_GB2312"/>
          <w:sz w:val="32"/>
          <w:szCs w:val="32"/>
        </w:rPr>
      </w:pPr>
      <w:r>
        <w:rPr>
          <w:rFonts w:hint="eastAsia" w:ascii="仿宋_GB2312" w:hAnsi="仿宋" w:eastAsia="仿宋_GB2312"/>
          <w:sz w:val="32"/>
          <w:szCs w:val="32"/>
        </w:rPr>
        <w:t>（一）建设工程投资审计情况</w:t>
      </w:r>
    </w:p>
    <w:p>
      <w:pPr>
        <w:ind w:firstLine="637" w:firstLineChars="199"/>
        <w:rPr>
          <w:rFonts w:ascii="仿宋_GB2312" w:hAnsi="仿宋" w:eastAsia="仿宋_GB2312"/>
          <w:sz w:val="32"/>
          <w:szCs w:val="32"/>
        </w:rPr>
      </w:pPr>
      <w:r>
        <w:rPr>
          <w:rFonts w:hint="eastAsia" w:ascii="仿宋_GB2312" w:hAnsi="仿宋" w:eastAsia="仿宋_GB2312"/>
          <w:sz w:val="32"/>
          <w:szCs w:val="32"/>
        </w:rPr>
        <w:t>1.建安工程造价审计情况</w:t>
      </w:r>
    </w:p>
    <w:p>
      <w:pPr>
        <w:ind w:firstLine="627" w:firstLineChars="196"/>
        <w:rPr>
          <w:rFonts w:ascii="仿宋_GB2312" w:hAnsi="仿宋" w:eastAsia="仿宋_GB2312"/>
          <w:sz w:val="32"/>
          <w:szCs w:val="32"/>
        </w:rPr>
      </w:pPr>
      <w:r>
        <w:rPr>
          <w:rFonts w:hint="eastAsia" w:ascii="仿宋_GB2312" w:hAnsi="仿宋" w:eastAsia="仿宋_GB2312"/>
          <w:sz w:val="32"/>
          <w:szCs w:val="32"/>
        </w:rPr>
        <w:t>张家港市审计局通过对被审计单位所提供工程资料内容的逐一核对和计算，核查监理单位的现场监理记录，并在工务处和相关施工单位的支持配合下，对有异议的内容进行了现场勘踏检查。</w:t>
      </w:r>
    </w:p>
    <w:p>
      <w:pPr>
        <w:ind w:firstLine="640" w:firstLineChars="200"/>
        <w:rPr>
          <w:rFonts w:ascii="仿宋_GB2312" w:hAnsi="仿宋" w:eastAsia="仿宋_GB2312"/>
          <w:sz w:val="32"/>
          <w:szCs w:val="32"/>
        </w:rPr>
      </w:pPr>
      <w:r>
        <w:rPr>
          <w:rFonts w:hint="eastAsia" w:ascii="仿宋_GB2312" w:hAnsi="仿宋" w:eastAsia="仿宋_GB2312"/>
          <w:sz w:val="32"/>
          <w:szCs w:val="32"/>
        </w:rPr>
        <w:t>经审计，文化中心项目送审工程造价为419,030,579.27元，审定造价为360,787,666.77元(包含甲供材料及水电费),核减工程造价为58,242,912.50元,综合核减率为13.90%。</w:t>
      </w:r>
    </w:p>
    <w:p>
      <w:pPr>
        <w:ind w:firstLine="637" w:firstLineChars="199"/>
        <w:rPr>
          <w:rFonts w:ascii="仿宋_GB2312" w:hAnsi="仿宋" w:eastAsia="仿宋_GB2312"/>
          <w:sz w:val="32"/>
          <w:szCs w:val="32"/>
        </w:rPr>
      </w:pPr>
      <w:r>
        <w:rPr>
          <w:rFonts w:hint="eastAsia" w:ascii="仿宋_GB2312" w:hAnsi="仿宋" w:eastAsia="仿宋_GB2312"/>
          <w:sz w:val="32"/>
          <w:szCs w:val="32"/>
        </w:rPr>
        <w:t>2.建设工程合同采购及待摊费用审计情况</w:t>
      </w:r>
    </w:p>
    <w:p>
      <w:pPr>
        <w:ind w:firstLine="637" w:firstLineChars="199"/>
        <w:rPr>
          <w:rFonts w:ascii="仿宋_GB2312" w:hAnsi="仿宋" w:eastAsia="仿宋_GB2312"/>
          <w:sz w:val="32"/>
          <w:szCs w:val="32"/>
        </w:rPr>
      </w:pPr>
      <w:r>
        <w:rPr>
          <w:rFonts w:hint="eastAsia" w:ascii="仿宋_GB2312" w:hAnsi="仿宋" w:eastAsia="仿宋_GB2312"/>
          <w:sz w:val="32"/>
          <w:szCs w:val="32"/>
        </w:rPr>
        <w:t>根据工务处提供的财务资料及相关合同协议等资料，文化中心项目合同采购总额8,567,950.94元，包括电梯采购及安装、天燃气接入费、空调采购、室外雕塑、吊灯采购等。待摊费用总额17,682,519.45元，包括勘探设计费、迁移补偿费、施工管理费、档案费及其他待摊费用等。</w:t>
      </w:r>
    </w:p>
    <w:p>
      <w:pPr>
        <w:ind w:firstLine="637" w:firstLineChars="199"/>
        <w:rPr>
          <w:rFonts w:ascii="仿宋_GB2312" w:hAnsi="仿宋" w:eastAsia="仿宋_GB2312"/>
          <w:sz w:val="32"/>
          <w:szCs w:val="32"/>
        </w:rPr>
      </w:pPr>
      <w:r>
        <w:rPr>
          <w:rFonts w:hint="eastAsia" w:ascii="仿宋_GB2312" w:hAnsi="仿宋" w:eastAsia="仿宋_GB2312"/>
          <w:sz w:val="32"/>
          <w:szCs w:val="32"/>
        </w:rPr>
        <w:t>3.建设工程总投资审计情况</w:t>
      </w:r>
    </w:p>
    <w:p>
      <w:pPr>
        <w:ind w:firstLine="637" w:firstLineChars="199"/>
        <w:rPr>
          <w:rFonts w:ascii="仿宋_GB2312" w:hAnsi="仿宋" w:eastAsia="仿宋_GB2312"/>
          <w:sz w:val="32"/>
          <w:szCs w:val="32"/>
        </w:rPr>
      </w:pPr>
      <w:r>
        <w:rPr>
          <w:rFonts w:hint="eastAsia" w:ascii="仿宋_GB2312" w:hAnsi="仿宋" w:eastAsia="仿宋_GB2312"/>
          <w:sz w:val="32"/>
          <w:szCs w:val="32"/>
        </w:rPr>
        <w:t>根据建安工程造价审计情况、工务处提供的财务资料、水电费分摊明细及审计费扣款明细等资料，经审计汇总调整后，文化中心项目总投资为384,314,738.20元，其中建安工程投资256,086,212.39元（按建安工程审定造价扣除定案书所列甲供材料费、水电费、审核费及赔款计算），甲供材及水电费101,978,055.42元，合同采购部分为8,567,950.94元，待摊费用为17,682,519.45元。</w:t>
      </w:r>
    </w:p>
    <w:p>
      <w:pPr>
        <w:ind w:firstLine="637" w:firstLineChars="199"/>
        <w:rPr>
          <w:rFonts w:ascii="仿宋_GB2312" w:hAnsi="仿宋" w:eastAsia="仿宋_GB2312"/>
          <w:sz w:val="32"/>
          <w:szCs w:val="32"/>
        </w:rPr>
      </w:pPr>
      <w:r>
        <w:rPr>
          <w:rFonts w:hint="eastAsia" w:ascii="仿宋_GB2312" w:hAnsi="仿宋" w:eastAsia="仿宋_GB2312"/>
          <w:sz w:val="32"/>
          <w:szCs w:val="32"/>
        </w:rPr>
        <w:t>（二）项目资金收支情况</w:t>
      </w:r>
    </w:p>
    <w:p>
      <w:pPr>
        <w:ind w:firstLine="637" w:firstLineChars="199"/>
        <w:rPr>
          <w:rFonts w:ascii="仿宋_GB2312" w:hAnsi="仿宋" w:eastAsia="仿宋_GB2312"/>
          <w:sz w:val="32"/>
          <w:szCs w:val="32"/>
        </w:rPr>
      </w:pPr>
      <w:r>
        <w:rPr>
          <w:rFonts w:hint="eastAsia" w:ascii="仿宋_GB2312" w:hAnsi="仿宋" w:eastAsia="仿宋_GB2312"/>
          <w:sz w:val="32"/>
          <w:szCs w:val="32"/>
        </w:rPr>
        <w:t>根据工务处提供的项目财务资料反映，截止2016年4月，该工程已到账财政资金381,380,000.00元。账面已支付各项工程建设经费377,703,182.38元，账面结余资金3,676,817.62元。结合项目实际总投资情况,该工程尚结欠相关单位工程款等6,611,555.82元。</w:t>
      </w:r>
    </w:p>
    <w:p>
      <w:pPr>
        <w:ind w:firstLine="640" w:firstLineChars="200"/>
        <w:rPr>
          <w:rFonts w:ascii="仿宋_GB2312" w:hAnsi="仿宋" w:eastAsia="仿宋_GB2312"/>
          <w:sz w:val="32"/>
          <w:szCs w:val="32"/>
        </w:rPr>
      </w:pPr>
      <w:r>
        <w:rPr>
          <w:rFonts w:hint="eastAsia" w:ascii="仿宋_GB2312" w:hAnsi="仿宋" w:eastAsia="仿宋_GB2312"/>
          <w:sz w:val="32"/>
          <w:szCs w:val="32"/>
        </w:rPr>
        <w:t>审计结果表明工务处在组织实施文化中心项目的建设过程中，统筹协调，克服了施工过程中的困难，基本完成了项目建设任务。该项目的送审资料基本真实地反映了工程建设的投资情况，财务收支基本符合财经法规的规定，内部控制制度基本健全，工程竣工结算资料、监理资料、隐蔽工程签证资料基本齐全。但审计也发现项目建设过程中尚存在一些不足，如个别单位工程未严格履行变更手续，建设过程中变更较多，现场管理作用未充分发挥等。</w:t>
      </w:r>
    </w:p>
    <w:p>
      <w:pPr>
        <w:ind w:firstLine="643" w:firstLineChars="200"/>
        <w:rPr>
          <w:rFonts w:ascii="仿宋_GB2312" w:eastAsia="仿宋_GB2312"/>
          <w:b/>
          <w:sz w:val="32"/>
          <w:szCs w:val="32"/>
        </w:rPr>
      </w:pPr>
      <w:r>
        <w:rPr>
          <w:rFonts w:hint="eastAsia" w:ascii="仿宋_GB2312" w:eastAsia="仿宋_GB2312"/>
          <w:b/>
          <w:sz w:val="32"/>
          <w:szCs w:val="32"/>
        </w:rPr>
        <w:t>二、审计发现的主要问题</w:t>
      </w:r>
    </w:p>
    <w:p>
      <w:pPr>
        <w:pStyle w:val="10"/>
        <w:shd w:val="clear" w:color="auto" w:fill="FFFFFF"/>
        <w:spacing w:before="0" w:beforeAutospacing="0" w:after="0" w:afterAutospacing="0" w:line="390" w:lineRule="atLeast"/>
        <w:ind w:firstLine="640" w:firstLineChars="200"/>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一）个别单位工程未严格履行变更手续。幕墙工程由江苏龙升幕墙工程有限公司中标施工，由于该单位工程进度拖延，建设单位为了确保工程进度，将观光塔幕墙工程（合同预算造价为120万元），发包给武汉凌云建筑装饰工程有限公司（该单位为本项目金属网架工程的中标施工单位，具有幕墙施工资质）并签订补充合同，不符合《建设工程价款结算暂行办法》（财建</w:t>
      </w:r>
      <w:r>
        <w:rPr>
          <w:rFonts w:hint="eastAsia" w:ascii="仿宋_GB2312" w:hAnsi="仿宋" w:eastAsia="仿宋_GB2312"/>
          <w:sz w:val="32"/>
          <w:szCs w:val="32"/>
        </w:rPr>
        <w:t>〔2004〕369号）第十条“（一）</w:t>
      </w:r>
      <w:r>
        <w:rPr>
          <w:rFonts w:ascii="仿宋_GB2312" w:hAnsi="仿宋" w:eastAsia="仿宋_GB2312" w:cs="Times New Roman"/>
          <w:kern w:val="2"/>
          <w:sz w:val="32"/>
          <w:szCs w:val="32"/>
        </w:rPr>
        <w:t>施工中发生工程变更，承包人按照经发包人认可的变更设计文件，进行变更施工，其中，政府投资项目重大变更，需按基本建设程序报批后方可施工。</w:t>
      </w:r>
      <w:r>
        <w:rPr>
          <w:rFonts w:hint="eastAsia" w:ascii="仿宋_GB2312" w:hAnsi="仿宋" w:eastAsia="仿宋_GB2312" w:cs="Times New Roman"/>
          <w:kern w:val="2"/>
          <w:sz w:val="32"/>
          <w:szCs w:val="32"/>
        </w:rPr>
        <w:t>”的规定。</w:t>
      </w:r>
    </w:p>
    <w:p>
      <w:pPr>
        <w:ind w:firstLine="640" w:firstLineChars="200"/>
        <w:rPr>
          <w:rFonts w:ascii="仿宋_GB2312" w:hAnsi="仿宋" w:eastAsia="仿宋_GB2312"/>
          <w:sz w:val="32"/>
          <w:szCs w:val="32"/>
        </w:rPr>
      </w:pPr>
      <w:r>
        <w:rPr>
          <w:rFonts w:hint="eastAsia" w:ascii="仿宋_GB2312" w:hAnsi="仿宋" w:eastAsia="仿宋_GB2312"/>
          <w:sz w:val="32"/>
          <w:szCs w:val="32"/>
        </w:rPr>
        <w:t>（二）由于监理单位未严格履行竣工图审查复核责任，造成部分单位工程的竣工图纸与实际现场不符，如档案馆玻璃幕墙钢骨架，提供的竣工图纸标注为350*110*8，经审核人员现场抽查，实际施工为350*100*8。不符合《国家建委关于编制基本建设工程竣工图的几项暂行规定》（〔82〕建发施字50号）三“（4）竣工图一定要与实际情况相符……”的规定，五“……竣工图不准确、不完整、不符合归档要求的，不能交工验收……”。与建筑物实体不相符的施工图送审和存档，将会给工程结算、维修、改扩建、城市规划等带来隐患。</w:t>
      </w:r>
    </w:p>
    <w:p>
      <w:pPr>
        <w:widowControl/>
        <w:shd w:val="clear" w:color="auto" w:fill="FFFFFF"/>
        <w:spacing w:line="360" w:lineRule="atLeast"/>
        <w:ind w:firstLine="640" w:firstLineChars="200"/>
        <w:jc w:val="left"/>
        <w:rPr>
          <w:rFonts w:ascii="仿宋_GB2312" w:hAnsi="仿宋" w:eastAsia="仿宋_GB2312"/>
          <w:sz w:val="32"/>
          <w:szCs w:val="32"/>
        </w:rPr>
      </w:pPr>
      <w:r>
        <w:rPr>
          <w:rFonts w:hint="eastAsia" w:ascii="仿宋_GB2312" w:hAnsi="仿宋" w:eastAsia="仿宋_GB2312"/>
          <w:sz w:val="32"/>
          <w:szCs w:val="32"/>
        </w:rPr>
        <w:t>（三）幕墙工程由于施工过程中变更较多，最终审定工程造价为5794.22万元，比原合同金额4269.81万元增加了1524.41万元，超额35.70%。变更内容主要有：大剧院原铝合金百页遮阳幕墙改为甲供不锈钢钢丝网，增加工程造价176.1164万元，原铝单板竖向格栅改为竖向定制铝格栅，增加工程造价83.27万元，屋面增加隐框玻璃幕墙、铝板幕墙及铝合金格栅等，增加工程造价270万元，石材墙面原清单工程量为7203.19M</w:t>
      </w:r>
      <w:r>
        <w:rPr>
          <w:rFonts w:hint="eastAsia" w:ascii="仿宋_GB2312" w:hAnsi="仿宋" w:eastAsia="仿宋_GB2312"/>
          <w:sz w:val="32"/>
          <w:szCs w:val="32"/>
          <w:vertAlign w:val="superscript"/>
        </w:rPr>
        <w:t>2</w:t>
      </w:r>
      <w:r>
        <w:rPr>
          <w:rFonts w:hint="eastAsia" w:ascii="仿宋_GB2312" w:hAnsi="仿宋" w:eastAsia="仿宋_GB2312"/>
          <w:sz w:val="32"/>
          <w:szCs w:val="32"/>
        </w:rPr>
        <w:t>，实际施工为11352.1M</w:t>
      </w:r>
      <w:r>
        <w:rPr>
          <w:rFonts w:hint="eastAsia" w:ascii="仿宋_GB2312" w:hAnsi="仿宋" w:eastAsia="仿宋_GB2312"/>
          <w:sz w:val="32"/>
          <w:szCs w:val="32"/>
          <w:vertAlign w:val="superscript"/>
        </w:rPr>
        <w:t>2</w:t>
      </w:r>
      <w:r>
        <w:rPr>
          <w:rFonts w:hint="eastAsia" w:ascii="仿宋_GB2312" w:hAnsi="仿宋" w:eastAsia="仿宋_GB2312"/>
          <w:sz w:val="32"/>
          <w:szCs w:val="32"/>
        </w:rPr>
        <w:t>,同时原点挂做法改为背栓做法，两项增加造价390.869万元；所有馆群增加蜂窝石材吊顶，增加造价487.97万元等。不符合《</w:t>
      </w:r>
      <w:r>
        <w:rPr>
          <w:rFonts w:ascii="仿宋_GB2312" w:hAnsi="仿宋" w:eastAsia="仿宋_GB2312"/>
          <w:sz w:val="32"/>
          <w:szCs w:val="32"/>
        </w:rPr>
        <w:t>张家港市政府投资项目工程概算、预算、决算审查办法</w:t>
      </w:r>
      <w:r>
        <w:rPr>
          <w:rFonts w:hint="eastAsia" w:ascii="仿宋_GB2312" w:hAnsi="仿宋" w:eastAsia="仿宋_GB2312"/>
          <w:sz w:val="32"/>
          <w:szCs w:val="32"/>
        </w:rPr>
        <w:t>》（张政发〔2005〕123号）第九条“建设单位应认真做好项目前期准备工作，防止设计及工程实施中出现变更而导致增加投资。”的规定。</w:t>
      </w:r>
    </w:p>
    <w:p>
      <w:pPr>
        <w:ind w:firstLine="640" w:firstLineChars="200"/>
        <w:rPr>
          <w:rFonts w:ascii="仿宋_GB2312" w:hAnsi="仿宋" w:eastAsia="仿宋_GB2312"/>
          <w:sz w:val="32"/>
          <w:szCs w:val="32"/>
        </w:rPr>
      </w:pPr>
      <w:r>
        <w:rPr>
          <w:rFonts w:hint="eastAsia" w:ascii="仿宋_GB2312" w:hAnsi="仿宋" w:eastAsia="仿宋_GB2312"/>
          <w:sz w:val="32"/>
          <w:szCs w:val="32"/>
        </w:rPr>
        <w:t>（四）文化中心项目有关施工单位的竣工结算送审工程造价419,030,579.27元，审定造价为360,787,666.77元,核减工程造价为58,242,912.50元 ,综合核减率为13.90%。</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三、审计处理情况及建议</w:t>
      </w:r>
    </w:p>
    <w:p>
      <w:pPr>
        <w:ind w:firstLine="640" w:firstLineChars="200"/>
        <w:rPr>
          <w:rFonts w:ascii="仿宋_GB2312" w:hAnsi="仿宋" w:eastAsia="仿宋_GB2312"/>
          <w:sz w:val="32"/>
          <w:szCs w:val="32"/>
        </w:rPr>
      </w:pPr>
      <w:r>
        <w:rPr>
          <w:rFonts w:hint="eastAsia" w:ascii="仿宋_GB2312" w:hAnsi="仿宋" w:eastAsia="仿宋_GB2312"/>
          <w:sz w:val="32"/>
          <w:szCs w:val="32"/>
        </w:rPr>
        <w:t>（一）对于工程造价核减的问题，根据《建设项目审计处理暂行规定》（审投发〔1996〕105号）第十四条“工程价款结算中多计少计的工程款应予调整”的规定，审计核减工程价款58,242,912.50元，建设单位应根据本次审计审定的金额与相关施工单位做好工程款的结算工作。</w:t>
      </w:r>
    </w:p>
    <w:p>
      <w:pPr>
        <w:ind w:firstLine="640" w:firstLineChars="200"/>
        <w:rPr>
          <w:rFonts w:ascii="仿宋_GB2312" w:hAnsi="仿宋" w:eastAsia="仿宋_GB2312"/>
          <w:sz w:val="32"/>
          <w:szCs w:val="32"/>
        </w:rPr>
      </w:pPr>
      <w:r>
        <w:rPr>
          <w:rFonts w:hint="eastAsia" w:ascii="仿宋_GB2312" w:hAnsi="仿宋" w:eastAsia="仿宋_GB2312"/>
          <w:sz w:val="32"/>
          <w:szCs w:val="32"/>
        </w:rPr>
        <w:t>（二）做好项目前期准备工作，尽量减少由于设计和施工过程中的变更过多而导致工程造价的增加。确因特殊原因发生工程变更的，要严格履行相关手续，保障建设资金得到有效应用。</w:t>
      </w:r>
    </w:p>
    <w:p>
      <w:pPr>
        <w:ind w:firstLine="640" w:firstLineChars="200"/>
        <w:rPr>
          <w:rFonts w:ascii="仿宋_GB2312" w:hAnsi="仿宋" w:eastAsia="仿宋_GB2312"/>
          <w:sz w:val="32"/>
          <w:szCs w:val="32"/>
        </w:rPr>
      </w:pPr>
      <w:r>
        <w:rPr>
          <w:rFonts w:hint="eastAsia" w:ascii="仿宋_GB2312" w:hAnsi="仿宋" w:eastAsia="仿宋_GB2312"/>
          <w:sz w:val="32"/>
          <w:szCs w:val="32"/>
        </w:rPr>
        <w:t>（三）督促施工单位将变更内容如实反映在竣工图中，送监理单位经工程总监和现场监理审阅无误后，加盖规定的竣工图章并签字后送审及存档，确保竣工图的完整性及准确性。</w:t>
      </w:r>
    </w:p>
    <w:p>
      <w:pPr>
        <w:ind w:firstLine="640" w:firstLineChars="200"/>
        <w:rPr>
          <w:rFonts w:ascii="仿宋_GB2312" w:hAnsi="仿宋" w:eastAsia="仿宋_GB2312"/>
          <w:sz w:val="32"/>
          <w:szCs w:val="32"/>
        </w:rPr>
      </w:pPr>
      <w:r>
        <w:rPr>
          <w:rFonts w:hint="eastAsia" w:ascii="仿宋_GB2312" w:hAnsi="仿宋" w:eastAsia="仿宋_GB2312"/>
          <w:sz w:val="32"/>
          <w:szCs w:val="32"/>
        </w:rPr>
        <w:t>（四）重视现场管理工作，提高签证意见的合理性，督促监理单位和现场管理人员加强工作责任心，促进现场管理质量的提高。</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四、审计发现问题的整改情况</w:t>
      </w:r>
    </w:p>
    <w:p>
      <w:pPr>
        <w:ind w:firstLine="640" w:firstLineChars="200"/>
        <w:rPr>
          <w:rFonts w:ascii="仿宋_GB2312" w:hAnsi="仿宋" w:eastAsia="仿宋_GB2312"/>
          <w:sz w:val="32"/>
          <w:szCs w:val="32"/>
        </w:rPr>
      </w:pPr>
      <w:r>
        <w:rPr>
          <w:rFonts w:hint="eastAsia" w:ascii="仿宋_GB2312" w:hAnsi="仿宋" w:eastAsia="仿宋_GB2312"/>
          <w:sz w:val="32"/>
          <w:szCs w:val="32"/>
        </w:rPr>
        <w:t>对审计发现的问题，工务处已积极组织整改，并于2016年6月23日提交了整改情况；同时表示在今后的项目中，将进一步加强内部管理，加强承包人送审资料准确性审查，督促监理单位认真审核竣工图，严格把关现场计量，加强工程变更管理等。</w:t>
      </w: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 xml:space="preserve">   </w:t>
      </w:r>
      <w:r>
        <w:rPr>
          <w:rFonts w:ascii="仿宋" w:hAnsi="仿宋" w:eastAsia="仿宋"/>
          <w:sz w:val="32"/>
          <w:szCs w:val="32"/>
        </w:rPr>
        <w:t xml:space="preserve">                         </w:t>
      </w:r>
      <w:bookmarkStart w:id="0" w:name="_GoBack"/>
      <w:bookmarkEnd w:id="0"/>
    </w:p>
    <w:sectPr>
      <w:headerReference r:id="rId3" w:type="default"/>
      <w:footerReference r:id="rId4" w:type="default"/>
      <w:footerReference r:id="rId5" w:type="even"/>
      <w:pgSz w:w="11906" w:h="16838"/>
      <w:pgMar w:top="1701" w:right="1474" w:bottom="1701" w:left="1588" w:header="851" w:footer="992" w:gutter="0"/>
      <w:cols w:space="425" w:num="1"/>
      <w:titlePg/>
      <w:docGrid w:type="lines" w:linePitch="3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modern"/>
    <w:pitch w:val="default"/>
    <w:sig w:usb0="00000000" w:usb1="00000000" w:usb2="00000016" w:usb3="00000000" w:csb0="00040001" w:csb1="00000000"/>
  </w:font>
  <w:font w:name="Verdana">
    <w:panose1 w:val="020B0604030504040204"/>
    <w:charset w:val="00"/>
    <w:family w:val="swiss"/>
    <w:pitch w:val="default"/>
    <w:sig w:usb0="00000287" w:usb1="00000000" w:usb2="00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长城小标宋体">
    <w:altName w:val="宋体"/>
    <w:panose1 w:val="02010609010101010101"/>
    <w:charset w:val="86"/>
    <w:family w:val="modern"/>
    <w:pitch w:val="default"/>
    <w:sig w:usb0="00000000" w:usb1="00000000" w:usb2="00000010" w:usb3="00000000" w:csb0="00040000" w:csb1="00000000"/>
  </w:font>
  <w:font w:name="华文仿宋">
    <w:altName w:val="仿宋_GB2312"/>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7980" w:firstLineChars="2850"/>
      <w:rPr>
        <w:sz w:val="28"/>
        <w:szCs w:val="28"/>
      </w:rPr>
    </w:pPr>
    <w:r>
      <w:rPr>
        <w:rStyle w:val="12"/>
        <w:rFonts w:hint="eastAsia"/>
        <w:sz w:val="28"/>
        <w:szCs w:val="28"/>
      </w:rPr>
      <w:t>－</w:t>
    </w:r>
    <w:r>
      <w:rPr>
        <w:rStyle w:val="12"/>
        <w:sz w:val="28"/>
        <w:szCs w:val="28"/>
      </w:rPr>
      <w:fldChar w:fldCharType="begin"/>
    </w:r>
    <w:r>
      <w:rPr>
        <w:rStyle w:val="12"/>
        <w:sz w:val="28"/>
        <w:szCs w:val="28"/>
      </w:rPr>
      <w:instrText xml:space="preserve"> PAGE </w:instrText>
    </w:r>
    <w:r>
      <w:rPr>
        <w:rStyle w:val="12"/>
        <w:sz w:val="28"/>
        <w:szCs w:val="28"/>
      </w:rPr>
      <w:fldChar w:fldCharType="separate"/>
    </w:r>
    <w:r>
      <w:rPr>
        <w:rStyle w:val="12"/>
        <w:sz w:val="28"/>
        <w:szCs w:val="28"/>
      </w:rPr>
      <w:t>5</w:t>
    </w:r>
    <w:r>
      <w:rPr>
        <w:rStyle w:val="12"/>
        <w:sz w:val="28"/>
        <w:szCs w:val="28"/>
      </w:rPr>
      <w:fldChar w:fldCharType="end"/>
    </w:r>
    <w:r>
      <w:rPr>
        <w:rStyle w:val="12"/>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8"/>
        <w:szCs w:val="28"/>
      </w:rPr>
    </w:pPr>
    <w:r>
      <w:rPr>
        <w:rStyle w:val="12"/>
        <w:rFonts w:hint="eastAsia"/>
        <w:sz w:val="28"/>
        <w:szCs w:val="28"/>
      </w:rPr>
      <w:t>－</w:t>
    </w:r>
    <w:r>
      <w:rPr>
        <w:rStyle w:val="12"/>
        <w:sz w:val="28"/>
        <w:szCs w:val="28"/>
      </w:rPr>
      <w:fldChar w:fldCharType="begin"/>
    </w:r>
    <w:r>
      <w:rPr>
        <w:rStyle w:val="12"/>
        <w:sz w:val="28"/>
        <w:szCs w:val="28"/>
      </w:rPr>
      <w:instrText xml:space="preserve"> PAGE </w:instrText>
    </w:r>
    <w:r>
      <w:rPr>
        <w:rStyle w:val="12"/>
        <w:sz w:val="28"/>
        <w:szCs w:val="28"/>
      </w:rPr>
      <w:fldChar w:fldCharType="separate"/>
    </w:r>
    <w:r>
      <w:rPr>
        <w:rStyle w:val="12"/>
        <w:sz w:val="28"/>
        <w:szCs w:val="28"/>
      </w:rPr>
      <w:t>6</w:t>
    </w:r>
    <w:r>
      <w:rPr>
        <w:rStyle w:val="12"/>
        <w:sz w:val="28"/>
        <w:szCs w:val="28"/>
      </w:rPr>
      <w:fldChar w:fldCharType="end"/>
    </w:r>
    <w:r>
      <w:rPr>
        <w:rStyle w:val="12"/>
        <w:rFonts w:hint="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10A75"/>
    <w:multiLevelType w:val="multilevel"/>
    <w:tmpl w:val="2AB10A75"/>
    <w:lvl w:ilvl="0" w:tentative="0">
      <w:start w:val="1"/>
      <w:numFmt w:val="japaneseCounting"/>
      <w:lvlText w:val="%1、"/>
      <w:lvlJc w:val="left"/>
      <w:pPr>
        <w:tabs>
          <w:tab w:val="left" w:pos="1350"/>
        </w:tabs>
        <w:ind w:left="1350" w:hanging="720"/>
      </w:pPr>
      <w:rPr>
        <w:rFonts w:hint="default" w:cs="Times New Roman"/>
      </w:rPr>
    </w:lvl>
    <w:lvl w:ilvl="1" w:tentative="0">
      <w:start w:val="1"/>
      <w:numFmt w:val="lowerLetter"/>
      <w:lvlText w:val="%2)"/>
      <w:lvlJc w:val="left"/>
      <w:pPr>
        <w:tabs>
          <w:tab w:val="left" w:pos="1470"/>
        </w:tabs>
        <w:ind w:left="1470" w:hanging="420"/>
      </w:pPr>
      <w:rPr>
        <w:rFonts w:cs="Times New Roman"/>
      </w:rPr>
    </w:lvl>
    <w:lvl w:ilvl="2" w:tentative="0">
      <w:start w:val="1"/>
      <w:numFmt w:val="lowerRoman"/>
      <w:lvlText w:val="%3."/>
      <w:lvlJc w:val="right"/>
      <w:pPr>
        <w:tabs>
          <w:tab w:val="left" w:pos="1890"/>
        </w:tabs>
        <w:ind w:left="1890" w:hanging="420"/>
      </w:pPr>
      <w:rPr>
        <w:rFonts w:cs="Times New Roman"/>
      </w:rPr>
    </w:lvl>
    <w:lvl w:ilvl="3" w:tentative="0">
      <w:start w:val="1"/>
      <w:numFmt w:val="decimal"/>
      <w:lvlText w:val="%4."/>
      <w:lvlJc w:val="left"/>
      <w:pPr>
        <w:tabs>
          <w:tab w:val="left" w:pos="2310"/>
        </w:tabs>
        <w:ind w:left="2310" w:hanging="420"/>
      </w:pPr>
      <w:rPr>
        <w:rFonts w:cs="Times New Roman"/>
      </w:rPr>
    </w:lvl>
    <w:lvl w:ilvl="4" w:tentative="0">
      <w:start w:val="1"/>
      <w:numFmt w:val="lowerLetter"/>
      <w:lvlText w:val="%5)"/>
      <w:lvlJc w:val="left"/>
      <w:pPr>
        <w:tabs>
          <w:tab w:val="left" w:pos="2730"/>
        </w:tabs>
        <w:ind w:left="2730" w:hanging="420"/>
      </w:pPr>
      <w:rPr>
        <w:rFonts w:cs="Times New Roman"/>
      </w:rPr>
    </w:lvl>
    <w:lvl w:ilvl="5" w:tentative="0">
      <w:start w:val="1"/>
      <w:numFmt w:val="lowerRoman"/>
      <w:lvlText w:val="%6."/>
      <w:lvlJc w:val="right"/>
      <w:pPr>
        <w:tabs>
          <w:tab w:val="left" w:pos="3150"/>
        </w:tabs>
        <w:ind w:left="3150" w:hanging="420"/>
      </w:pPr>
      <w:rPr>
        <w:rFonts w:cs="Times New Roman"/>
      </w:rPr>
    </w:lvl>
    <w:lvl w:ilvl="6" w:tentative="0">
      <w:start w:val="1"/>
      <w:numFmt w:val="decimal"/>
      <w:lvlText w:val="%7."/>
      <w:lvlJc w:val="left"/>
      <w:pPr>
        <w:tabs>
          <w:tab w:val="left" w:pos="3570"/>
        </w:tabs>
        <w:ind w:left="3570" w:hanging="420"/>
      </w:pPr>
      <w:rPr>
        <w:rFonts w:cs="Times New Roman"/>
      </w:rPr>
    </w:lvl>
    <w:lvl w:ilvl="7" w:tentative="0">
      <w:start w:val="1"/>
      <w:numFmt w:val="lowerLetter"/>
      <w:lvlText w:val="%8)"/>
      <w:lvlJc w:val="left"/>
      <w:pPr>
        <w:tabs>
          <w:tab w:val="left" w:pos="3990"/>
        </w:tabs>
        <w:ind w:left="3990" w:hanging="420"/>
      </w:pPr>
      <w:rPr>
        <w:rFonts w:cs="Times New Roman"/>
      </w:rPr>
    </w:lvl>
    <w:lvl w:ilvl="8" w:tentative="0">
      <w:start w:val="1"/>
      <w:numFmt w:val="lowerRoman"/>
      <w:lvlText w:val="%9."/>
      <w:lvlJc w:val="right"/>
      <w:pPr>
        <w:tabs>
          <w:tab w:val="left" w:pos="4410"/>
        </w:tabs>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0"/>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2"/>
  </w:compat>
  <w:rsids>
    <w:rsidRoot w:val="00245EF5"/>
    <w:rsid w:val="0000383B"/>
    <w:rsid w:val="00010F41"/>
    <w:rsid w:val="00013DAA"/>
    <w:rsid w:val="0001787C"/>
    <w:rsid w:val="00020E60"/>
    <w:rsid w:val="000218F1"/>
    <w:rsid w:val="00023E8E"/>
    <w:rsid w:val="000252C6"/>
    <w:rsid w:val="00027FB7"/>
    <w:rsid w:val="00031E35"/>
    <w:rsid w:val="000359B2"/>
    <w:rsid w:val="00044232"/>
    <w:rsid w:val="00052941"/>
    <w:rsid w:val="00055D96"/>
    <w:rsid w:val="0006177C"/>
    <w:rsid w:val="00062094"/>
    <w:rsid w:val="00063BC2"/>
    <w:rsid w:val="00071121"/>
    <w:rsid w:val="0007180D"/>
    <w:rsid w:val="0007182A"/>
    <w:rsid w:val="000750FD"/>
    <w:rsid w:val="00075E31"/>
    <w:rsid w:val="0007615B"/>
    <w:rsid w:val="00076C79"/>
    <w:rsid w:val="0008043F"/>
    <w:rsid w:val="0008377B"/>
    <w:rsid w:val="00083D4D"/>
    <w:rsid w:val="00084BBF"/>
    <w:rsid w:val="00087483"/>
    <w:rsid w:val="00091162"/>
    <w:rsid w:val="000937E5"/>
    <w:rsid w:val="000970DD"/>
    <w:rsid w:val="000A04AE"/>
    <w:rsid w:val="000B0706"/>
    <w:rsid w:val="000B0960"/>
    <w:rsid w:val="000B4329"/>
    <w:rsid w:val="000B69E2"/>
    <w:rsid w:val="000C1DA3"/>
    <w:rsid w:val="000C762E"/>
    <w:rsid w:val="000D2C9A"/>
    <w:rsid w:val="000D660B"/>
    <w:rsid w:val="000D7E50"/>
    <w:rsid w:val="000E4744"/>
    <w:rsid w:val="000E55FC"/>
    <w:rsid w:val="000F129D"/>
    <w:rsid w:val="000F2F56"/>
    <w:rsid w:val="000F4B40"/>
    <w:rsid w:val="000F5324"/>
    <w:rsid w:val="00104F51"/>
    <w:rsid w:val="001058FF"/>
    <w:rsid w:val="0011180F"/>
    <w:rsid w:val="00113AFB"/>
    <w:rsid w:val="00113C32"/>
    <w:rsid w:val="001259A9"/>
    <w:rsid w:val="00126E64"/>
    <w:rsid w:val="001275AB"/>
    <w:rsid w:val="001301B8"/>
    <w:rsid w:val="001339DF"/>
    <w:rsid w:val="0013418F"/>
    <w:rsid w:val="00134798"/>
    <w:rsid w:val="00156292"/>
    <w:rsid w:val="00156D75"/>
    <w:rsid w:val="00163AD7"/>
    <w:rsid w:val="001708D6"/>
    <w:rsid w:val="00172AAE"/>
    <w:rsid w:val="00172EAC"/>
    <w:rsid w:val="00173FC2"/>
    <w:rsid w:val="00180F55"/>
    <w:rsid w:val="0018275B"/>
    <w:rsid w:val="00183C27"/>
    <w:rsid w:val="001904C9"/>
    <w:rsid w:val="001949C8"/>
    <w:rsid w:val="001953DB"/>
    <w:rsid w:val="001A5660"/>
    <w:rsid w:val="001A7900"/>
    <w:rsid w:val="001B400B"/>
    <w:rsid w:val="001C5C00"/>
    <w:rsid w:val="001D0851"/>
    <w:rsid w:val="001E17B7"/>
    <w:rsid w:val="001E55C2"/>
    <w:rsid w:val="001F531C"/>
    <w:rsid w:val="001F7C46"/>
    <w:rsid w:val="00201117"/>
    <w:rsid w:val="0020222B"/>
    <w:rsid w:val="00204499"/>
    <w:rsid w:val="00204EC4"/>
    <w:rsid w:val="0021524E"/>
    <w:rsid w:val="00237B9D"/>
    <w:rsid w:val="00242698"/>
    <w:rsid w:val="00242765"/>
    <w:rsid w:val="00245EF5"/>
    <w:rsid w:val="00254A31"/>
    <w:rsid w:val="00257E93"/>
    <w:rsid w:val="00262CE5"/>
    <w:rsid w:val="002662DD"/>
    <w:rsid w:val="00271DF9"/>
    <w:rsid w:val="00273257"/>
    <w:rsid w:val="0027564C"/>
    <w:rsid w:val="00287008"/>
    <w:rsid w:val="002922D1"/>
    <w:rsid w:val="00292C73"/>
    <w:rsid w:val="002937F5"/>
    <w:rsid w:val="00294DA3"/>
    <w:rsid w:val="002A7652"/>
    <w:rsid w:val="002C085A"/>
    <w:rsid w:val="002C10FF"/>
    <w:rsid w:val="002C498C"/>
    <w:rsid w:val="002D0918"/>
    <w:rsid w:val="002D0D47"/>
    <w:rsid w:val="002D2ECB"/>
    <w:rsid w:val="002D7941"/>
    <w:rsid w:val="002E0772"/>
    <w:rsid w:val="002E1284"/>
    <w:rsid w:val="002E2BFE"/>
    <w:rsid w:val="002E6601"/>
    <w:rsid w:val="002E76AB"/>
    <w:rsid w:val="002F3CEC"/>
    <w:rsid w:val="002F4BF6"/>
    <w:rsid w:val="002F676E"/>
    <w:rsid w:val="002F7A52"/>
    <w:rsid w:val="002F7E0E"/>
    <w:rsid w:val="00302079"/>
    <w:rsid w:val="00305283"/>
    <w:rsid w:val="0030633E"/>
    <w:rsid w:val="0030765D"/>
    <w:rsid w:val="00312A86"/>
    <w:rsid w:val="0031673E"/>
    <w:rsid w:val="0031711B"/>
    <w:rsid w:val="00325E6C"/>
    <w:rsid w:val="003264FA"/>
    <w:rsid w:val="00327152"/>
    <w:rsid w:val="00331039"/>
    <w:rsid w:val="00331D0C"/>
    <w:rsid w:val="00332EF6"/>
    <w:rsid w:val="0033397C"/>
    <w:rsid w:val="0033629D"/>
    <w:rsid w:val="0033705E"/>
    <w:rsid w:val="00337DBD"/>
    <w:rsid w:val="003418DD"/>
    <w:rsid w:val="00344F71"/>
    <w:rsid w:val="0034540A"/>
    <w:rsid w:val="0034731B"/>
    <w:rsid w:val="00350E38"/>
    <w:rsid w:val="00351606"/>
    <w:rsid w:val="0035195B"/>
    <w:rsid w:val="00356005"/>
    <w:rsid w:val="00356952"/>
    <w:rsid w:val="00357FF9"/>
    <w:rsid w:val="00367EB3"/>
    <w:rsid w:val="0037077A"/>
    <w:rsid w:val="00373232"/>
    <w:rsid w:val="00374050"/>
    <w:rsid w:val="00375071"/>
    <w:rsid w:val="00376809"/>
    <w:rsid w:val="00377EC7"/>
    <w:rsid w:val="0039367C"/>
    <w:rsid w:val="00395D16"/>
    <w:rsid w:val="003A1956"/>
    <w:rsid w:val="003B00E6"/>
    <w:rsid w:val="003B0A1A"/>
    <w:rsid w:val="003B1100"/>
    <w:rsid w:val="003B3698"/>
    <w:rsid w:val="003B3B1C"/>
    <w:rsid w:val="003B5838"/>
    <w:rsid w:val="003B6BCB"/>
    <w:rsid w:val="003C6ACD"/>
    <w:rsid w:val="003C7BEE"/>
    <w:rsid w:val="003E2DFF"/>
    <w:rsid w:val="003F0A5B"/>
    <w:rsid w:val="003F410C"/>
    <w:rsid w:val="003F42AC"/>
    <w:rsid w:val="004005DD"/>
    <w:rsid w:val="004021DD"/>
    <w:rsid w:val="00413BF9"/>
    <w:rsid w:val="00416B8F"/>
    <w:rsid w:val="0042253E"/>
    <w:rsid w:val="00433221"/>
    <w:rsid w:val="004333B2"/>
    <w:rsid w:val="0043519B"/>
    <w:rsid w:val="00435581"/>
    <w:rsid w:val="00441227"/>
    <w:rsid w:val="004415CB"/>
    <w:rsid w:val="00451C56"/>
    <w:rsid w:val="00457D5E"/>
    <w:rsid w:val="004619FA"/>
    <w:rsid w:val="004659C6"/>
    <w:rsid w:val="00467552"/>
    <w:rsid w:val="004678E4"/>
    <w:rsid w:val="00481F05"/>
    <w:rsid w:val="00484411"/>
    <w:rsid w:val="004844BA"/>
    <w:rsid w:val="00485B26"/>
    <w:rsid w:val="00491CA9"/>
    <w:rsid w:val="004A066A"/>
    <w:rsid w:val="004A4CBF"/>
    <w:rsid w:val="004B5985"/>
    <w:rsid w:val="004B64AB"/>
    <w:rsid w:val="004B6A91"/>
    <w:rsid w:val="004C3443"/>
    <w:rsid w:val="004C6800"/>
    <w:rsid w:val="004C792B"/>
    <w:rsid w:val="004D1C13"/>
    <w:rsid w:val="004D24BF"/>
    <w:rsid w:val="004E09B5"/>
    <w:rsid w:val="004E51EB"/>
    <w:rsid w:val="004F7179"/>
    <w:rsid w:val="00500847"/>
    <w:rsid w:val="00501F31"/>
    <w:rsid w:val="0050536C"/>
    <w:rsid w:val="0050588E"/>
    <w:rsid w:val="00505E79"/>
    <w:rsid w:val="00510798"/>
    <w:rsid w:val="005203E3"/>
    <w:rsid w:val="00520FFE"/>
    <w:rsid w:val="00527521"/>
    <w:rsid w:val="00534BD9"/>
    <w:rsid w:val="005357B3"/>
    <w:rsid w:val="00540241"/>
    <w:rsid w:val="005424B0"/>
    <w:rsid w:val="005442F6"/>
    <w:rsid w:val="005538CE"/>
    <w:rsid w:val="005578C0"/>
    <w:rsid w:val="00571565"/>
    <w:rsid w:val="00575672"/>
    <w:rsid w:val="00575693"/>
    <w:rsid w:val="005854BC"/>
    <w:rsid w:val="0058573E"/>
    <w:rsid w:val="005969F4"/>
    <w:rsid w:val="005A1156"/>
    <w:rsid w:val="005A210C"/>
    <w:rsid w:val="005A290F"/>
    <w:rsid w:val="005A2FED"/>
    <w:rsid w:val="005A7CC6"/>
    <w:rsid w:val="005B1FD3"/>
    <w:rsid w:val="005C33BA"/>
    <w:rsid w:val="005C3943"/>
    <w:rsid w:val="005D1E6F"/>
    <w:rsid w:val="005D4337"/>
    <w:rsid w:val="005D6F9D"/>
    <w:rsid w:val="005E0482"/>
    <w:rsid w:val="005E43A9"/>
    <w:rsid w:val="005F0075"/>
    <w:rsid w:val="005F338F"/>
    <w:rsid w:val="005F35B3"/>
    <w:rsid w:val="006019FC"/>
    <w:rsid w:val="00602B23"/>
    <w:rsid w:val="006051A1"/>
    <w:rsid w:val="006113A4"/>
    <w:rsid w:val="00612004"/>
    <w:rsid w:val="00616391"/>
    <w:rsid w:val="00617F4C"/>
    <w:rsid w:val="006225BE"/>
    <w:rsid w:val="0062310C"/>
    <w:rsid w:val="00624CAB"/>
    <w:rsid w:val="0063073F"/>
    <w:rsid w:val="00630D2E"/>
    <w:rsid w:val="00633069"/>
    <w:rsid w:val="00652096"/>
    <w:rsid w:val="0065275E"/>
    <w:rsid w:val="00661C91"/>
    <w:rsid w:val="006803E2"/>
    <w:rsid w:val="0068272F"/>
    <w:rsid w:val="006840E1"/>
    <w:rsid w:val="00684852"/>
    <w:rsid w:val="00690603"/>
    <w:rsid w:val="00691815"/>
    <w:rsid w:val="0069207C"/>
    <w:rsid w:val="0069747A"/>
    <w:rsid w:val="00697910"/>
    <w:rsid w:val="006A2FFC"/>
    <w:rsid w:val="006B2B2E"/>
    <w:rsid w:val="006B3D92"/>
    <w:rsid w:val="006C4539"/>
    <w:rsid w:val="006D15C9"/>
    <w:rsid w:val="006D1D13"/>
    <w:rsid w:val="006D792C"/>
    <w:rsid w:val="006E3171"/>
    <w:rsid w:val="006F614E"/>
    <w:rsid w:val="00700A42"/>
    <w:rsid w:val="00702870"/>
    <w:rsid w:val="007038A6"/>
    <w:rsid w:val="00703DB2"/>
    <w:rsid w:val="007108F9"/>
    <w:rsid w:val="007121A6"/>
    <w:rsid w:val="00715321"/>
    <w:rsid w:val="00724B2B"/>
    <w:rsid w:val="00726786"/>
    <w:rsid w:val="0072698F"/>
    <w:rsid w:val="007271F3"/>
    <w:rsid w:val="007329C7"/>
    <w:rsid w:val="00734F5F"/>
    <w:rsid w:val="007428EA"/>
    <w:rsid w:val="007452A7"/>
    <w:rsid w:val="00745DE7"/>
    <w:rsid w:val="00756B33"/>
    <w:rsid w:val="00761CE3"/>
    <w:rsid w:val="00762D89"/>
    <w:rsid w:val="00774070"/>
    <w:rsid w:val="007753D0"/>
    <w:rsid w:val="00776566"/>
    <w:rsid w:val="00791548"/>
    <w:rsid w:val="007919C7"/>
    <w:rsid w:val="00795CDE"/>
    <w:rsid w:val="00796A13"/>
    <w:rsid w:val="007B05B9"/>
    <w:rsid w:val="007B0C05"/>
    <w:rsid w:val="007B5CB9"/>
    <w:rsid w:val="007B7D83"/>
    <w:rsid w:val="007C1FC5"/>
    <w:rsid w:val="007C48DF"/>
    <w:rsid w:val="007C56F4"/>
    <w:rsid w:val="007D5602"/>
    <w:rsid w:val="007D5854"/>
    <w:rsid w:val="007E3135"/>
    <w:rsid w:val="007E4845"/>
    <w:rsid w:val="007E5A6A"/>
    <w:rsid w:val="007F245C"/>
    <w:rsid w:val="007F2658"/>
    <w:rsid w:val="00800165"/>
    <w:rsid w:val="00803379"/>
    <w:rsid w:val="00807B69"/>
    <w:rsid w:val="00811033"/>
    <w:rsid w:val="008131B3"/>
    <w:rsid w:val="00815C18"/>
    <w:rsid w:val="00820140"/>
    <w:rsid w:val="00820F81"/>
    <w:rsid w:val="00821D6C"/>
    <w:rsid w:val="008239FC"/>
    <w:rsid w:val="00835770"/>
    <w:rsid w:val="0083765B"/>
    <w:rsid w:val="00841191"/>
    <w:rsid w:val="00843793"/>
    <w:rsid w:val="00845297"/>
    <w:rsid w:val="008541F5"/>
    <w:rsid w:val="00856A6A"/>
    <w:rsid w:val="008605C6"/>
    <w:rsid w:val="00867E3C"/>
    <w:rsid w:val="008704E7"/>
    <w:rsid w:val="008710CC"/>
    <w:rsid w:val="00871D14"/>
    <w:rsid w:val="00874102"/>
    <w:rsid w:val="00880743"/>
    <w:rsid w:val="00880DF9"/>
    <w:rsid w:val="008833C0"/>
    <w:rsid w:val="00883789"/>
    <w:rsid w:val="008868B0"/>
    <w:rsid w:val="00887E11"/>
    <w:rsid w:val="00891273"/>
    <w:rsid w:val="00891B7A"/>
    <w:rsid w:val="00895DD8"/>
    <w:rsid w:val="008A1F61"/>
    <w:rsid w:val="008A2084"/>
    <w:rsid w:val="008A20B8"/>
    <w:rsid w:val="008A7E07"/>
    <w:rsid w:val="008B1595"/>
    <w:rsid w:val="008B39B5"/>
    <w:rsid w:val="008C3BD8"/>
    <w:rsid w:val="008C4E0A"/>
    <w:rsid w:val="008C7986"/>
    <w:rsid w:val="008D3556"/>
    <w:rsid w:val="008D3CCE"/>
    <w:rsid w:val="008E06DE"/>
    <w:rsid w:val="008E13C9"/>
    <w:rsid w:val="008E2D30"/>
    <w:rsid w:val="009033A4"/>
    <w:rsid w:val="009049FE"/>
    <w:rsid w:val="00904B5B"/>
    <w:rsid w:val="00906C68"/>
    <w:rsid w:val="00907E61"/>
    <w:rsid w:val="00911F84"/>
    <w:rsid w:val="00913B3E"/>
    <w:rsid w:val="00914D9A"/>
    <w:rsid w:val="00917EF0"/>
    <w:rsid w:val="0092342A"/>
    <w:rsid w:val="009250C6"/>
    <w:rsid w:val="009253F5"/>
    <w:rsid w:val="00931644"/>
    <w:rsid w:val="00931E9B"/>
    <w:rsid w:val="00933E6D"/>
    <w:rsid w:val="009371C1"/>
    <w:rsid w:val="00945C2E"/>
    <w:rsid w:val="00946800"/>
    <w:rsid w:val="00947C99"/>
    <w:rsid w:val="0095121E"/>
    <w:rsid w:val="00951BFB"/>
    <w:rsid w:val="009571D1"/>
    <w:rsid w:val="00957778"/>
    <w:rsid w:val="00957CDD"/>
    <w:rsid w:val="00964E44"/>
    <w:rsid w:val="009714CA"/>
    <w:rsid w:val="00972946"/>
    <w:rsid w:val="00975B59"/>
    <w:rsid w:val="0098235A"/>
    <w:rsid w:val="009843D7"/>
    <w:rsid w:val="00992D28"/>
    <w:rsid w:val="00996D8F"/>
    <w:rsid w:val="009A54C1"/>
    <w:rsid w:val="009A5A76"/>
    <w:rsid w:val="009A67B1"/>
    <w:rsid w:val="009B2558"/>
    <w:rsid w:val="009B5C6C"/>
    <w:rsid w:val="009B72AF"/>
    <w:rsid w:val="009C74E4"/>
    <w:rsid w:val="009D2088"/>
    <w:rsid w:val="009D36C3"/>
    <w:rsid w:val="009E1454"/>
    <w:rsid w:val="009E1898"/>
    <w:rsid w:val="009E24DF"/>
    <w:rsid w:val="009E3162"/>
    <w:rsid w:val="009E391E"/>
    <w:rsid w:val="009E39EA"/>
    <w:rsid w:val="009E5E7B"/>
    <w:rsid w:val="009F1C03"/>
    <w:rsid w:val="00A02394"/>
    <w:rsid w:val="00A047FC"/>
    <w:rsid w:val="00A04814"/>
    <w:rsid w:val="00A04B93"/>
    <w:rsid w:val="00A103CC"/>
    <w:rsid w:val="00A13F54"/>
    <w:rsid w:val="00A144A8"/>
    <w:rsid w:val="00A15347"/>
    <w:rsid w:val="00A159F0"/>
    <w:rsid w:val="00A16193"/>
    <w:rsid w:val="00A166DA"/>
    <w:rsid w:val="00A1689D"/>
    <w:rsid w:val="00A178EA"/>
    <w:rsid w:val="00A17C85"/>
    <w:rsid w:val="00A20435"/>
    <w:rsid w:val="00A20BAE"/>
    <w:rsid w:val="00A21A00"/>
    <w:rsid w:val="00A21C0E"/>
    <w:rsid w:val="00A23154"/>
    <w:rsid w:val="00A309EA"/>
    <w:rsid w:val="00A30D23"/>
    <w:rsid w:val="00A3583B"/>
    <w:rsid w:val="00A3600A"/>
    <w:rsid w:val="00A46BB7"/>
    <w:rsid w:val="00A47258"/>
    <w:rsid w:val="00A518AF"/>
    <w:rsid w:val="00A5446B"/>
    <w:rsid w:val="00A60BC3"/>
    <w:rsid w:val="00A657FD"/>
    <w:rsid w:val="00A71058"/>
    <w:rsid w:val="00A75D99"/>
    <w:rsid w:val="00A77E7E"/>
    <w:rsid w:val="00A8402E"/>
    <w:rsid w:val="00A85617"/>
    <w:rsid w:val="00A90ECD"/>
    <w:rsid w:val="00A91B80"/>
    <w:rsid w:val="00A96FF7"/>
    <w:rsid w:val="00A97E46"/>
    <w:rsid w:val="00AA01C6"/>
    <w:rsid w:val="00AA62AF"/>
    <w:rsid w:val="00AB5834"/>
    <w:rsid w:val="00AC06F0"/>
    <w:rsid w:val="00AC6149"/>
    <w:rsid w:val="00AC7627"/>
    <w:rsid w:val="00AE089D"/>
    <w:rsid w:val="00AE493D"/>
    <w:rsid w:val="00AE6101"/>
    <w:rsid w:val="00AF20B1"/>
    <w:rsid w:val="00AF2F42"/>
    <w:rsid w:val="00AF3C01"/>
    <w:rsid w:val="00B070BB"/>
    <w:rsid w:val="00B10FBD"/>
    <w:rsid w:val="00B11645"/>
    <w:rsid w:val="00B12C41"/>
    <w:rsid w:val="00B16645"/>
    <w:rsid w:val="00B17988"/>
    <w:rsid w:val="00B31A64"/>
    <w:rsid w:val="00B35372"/>
    <w:rsid w:val="00B35896"/>
    <w:rsid w:val="00B4013F"/>
    <w:rsid w:val="00B45A4A"/>
    <w:rsid w:val="00B50B3B"/>
    <w:rsid w:val="00B524B9"/>
    <w:rsid w:val="00B57095"/>
    <w:rsid w:val="00B61287"/>
    <w:rsid w:val="00B63EFD"/>
    <w:rsid w:val="00B65D8A"/>
    <w:rsid w:val="00B75052"/>
    <w:rsid w:val="00B772AF"/>
    <w:rsid w:val="00B81FC9"/>
    <w:rsid w:val="00B8392C"/>
    <w:rsid w:val="00B918DF"/>
    <w:rsid w:val="00B952CA"/>
    <w:rsid w:val="00B95DCA"/>
    <w:rsid w:val="00B964B6"/>
    <w:rsid w:val="00BA2185"/>
    <w:rsid w:val="00BA3A31"/>
    <w:rsid w:val="00BB29BA"/>
    <w:rsid w:val="00BB355A"/>
    <w:rsid w:val="00BB4BA8"/>
    <w:rsid w:val="00BC079F"/>
    <w:rsid w:val="00BD1178"/>
    <w:rsid w:val="00BD132C"/>
    <w:rsid w:val="00BD5905"/>
    <w:rsid w:val="00BE6404"/>
    <w:rsid w:val="00BF188A"/>
    <w:rsid w:val="00BF34E8"/>
    <w:rsid w:val="00BF482D"/>
    <w:rsid w:val="00C10C56"/>
    <w:rsid w:val="00C1214A"/>
    <w:rsid w:val="00C13E9A"/>
    <w:rsid w:val="00C22026"/>
    <w:rsid w:val="00C22759"/>
    <w:rsid w:val="00C233D1"/>
    <w:rsid w:val="00C3025C"/>
    <w:rsid w:val="00C31F95"/>
    <w:rsid w:val="00C320CF"/>
    <w:rsid w:val="00C32EF1"/>
    <w:rsid w:val="00C33C8B"/>
    <w:rsid w:val="00C37A36"/>
    <w:rsid w:val="00C41798"/>
    <w:rsid w:val="00C622B8"/>
    <w:rsid w:val="00C66187"/>
    <w:rsid w:val="00C7108E"/>
    <w:rsid w:val="00C8784F"/>
    <w:rsid w:val="00C90C5A"/>
    <w:rsid w:val="00C943E0"/>
    <w:rsid w:val="00CA226B"/>
    <w:rsid w:val="00CA5310"/>
    <w:rsid w:val="00CA7206"/>
    <w:rsid w:val="00CB0149"/>
    <w:rsid w:val="00CB029D"/>
    <w:rsid w:val="00CB186E"/>
    <w:rsid w:val="00CB40C3"/>
    <w:rsid w:val="00CB42A6"/>
    <w:rsid w:val="00CB59D2"/>
    <w:rsid w:val="00CB60E0"/>
    <w:rsid w:val="00CB71B3"/>
    <w:rsid w:val="00CC251A"/>
    <w:rsid w:val="00CC7971"/>
    <w:rsid w:val="00CD0F09"/>
    <w:rsid w:val="00CD4EE6"/>
    <w:rsid w:val="00CE73C5"/>
    <w:rsid w:val="00CF0ACD"/>
    <w:rsid w:val="00CF5CB9"/>
    <w:rsid w:val="00D046DD"/>
    <w:rsid w:val="00D06CA7"/>
    <w:rsid w:val="00D14217"/>
    <w:rsid w:val="00D16D6A"/>
    <w:rsid w:val="00D20703"/>
    <w:rsid w:val="00D209CE"/>
    <w:rsid w:val="00D2656B"/>
    <w:rsid w:val="00D30D67"/>
    <w:rsid w:val="00D33004"/>
    <w:rsid w:val="00D350E5"/>
    <w:rsid w:val="00D453F1"/>
    <w:rsid w:val="00D4584E"/>
    <w:rsid w:val="00D45A97"/>
    <w:rsid w:val="00D46087"/>
    <w:rsid w:val="00D46AC6"/>
    <w:rsid w:val="00D52A6C"/>
    <w:rsid w:val="00D57465"/>
    <w:rsid w:val="00D61026"/>
    <w:rsid w:val="00D63190"/>
    <w:rsid w:val="00D66488"/>
    <w:rsid w:val="00D666E6"/>
    <w:rsid w:val="00D66F8B"/>
    <w:rsid w:val="00D70078"/>
    <w:rsid w:val="00D7074D"/>
    <w:rsid w:val="00D70B01"/>
    <w:rsid w:val="00D72EA9"/>
    <w:rsid w:val="00D73D33"/>
    <w:rsid w:val="00D7631B"/>
    <w:rsid w:val="00D802AC"/>
    <w:rsid w:val="00D878B7"/>
    <w:rsid w:val="00D90671"/>
    <w:rsid w:val="00D90FE2"/>
    <w:rsid w:val="00D932CF"/>
    <w:rsid w:val="00D93BF3"/>
    <w:rsid w:val="00D97DA4"/>
    <w:rsid w:val="00DA1114"/>
    <w:rsid w:val="00DA1E21"/>
    <w:rsid w:val="00DA305A"/>
    <w:rsid w:val="00DA4E50"/>
    <w:rsid w:val="00DA5E42"/>
    <w:rsid w:val="00DB3B0E"/>
    <w:rsid w:val="00DB52F8"/>
    <w:rsid w:val="00DB55BF"/>
    <w:rsid w:val="00DC00F6"/>
    <w:rsid w:val="00DC3AE9"/>
    <w:rsid w:val="00DC5B16"/>
    <w:rsid w:val="00DC6751"/>
    <w:rsid w:val="00DC6F4B"/>
    <w:rsid w:val="00DD2762"/>
    <w:rsid w:val="00DE0CBC"/>
    <w:rsid w:val="00DE6A11"/>
    <w:rsid w:val="00DF227C"/>
    <w:rsid w:val="00DF36EB"/>
    <w:rsid w:val="00DF67B6"/>
    <w:rsid w:val="00E00BA0"/>
    <w:rsid w:val="00E03E97"/>
    <w:rsid w:val="00E07110"/>
    <w:rsid w:val="00E10688"/>
    <w:rsid w:val="00E11980"/>
    <w:rsid w:val="00E12379"/>
    <w:rsid w:val="00E13F5F"/>
    <w:rsid w:val="00E166D4"/>
    <w:rsid w:val="00E16DC9"/>
    <w:rsid w:val="00E27925"/>
    <w:rsid w:val="00E42100"/>
    <w:rsid w:val="00E44F88"/>
    <w:rsid w:val="00E4575F"/>
    <w:rsid w:val="00E50681"/>
    <w:rsid w:val="00E5340B"/>
    <w:rsid w:val="00E5524E"/>
    <w:rsid w:val="00E562FB"/>
    <w:rsid w:val="00E57D1C"/>
    <w:rsid w:val="00E57D5A"/>
    <w:rsid w:val="00E600EA"/>
    <w:rsid w:val="00E6109B"/>
    <w:rsid w:val="00E63F32"/>
    <w:rsid w:val="00E65AFE"/>
    <w:rsid w:val="00E65DE5"/>
    <w:rsid w:val="00E671A0"/>
    <w:rsid w:val="00E678AA"/>
    <w:rsid w:val="00E71B1E"/>
    <w:rsid w:val="00E71C20"/>
    <w:rsid w:val="00E73092"/>
    <w:rsid w:val="00E73B60"/>
    <w:rsid w:val="00E75152"/>
    <w:rsid w:val="00E75CC3"/>
    <w:rsid w:val="00E813D0"/>
    <w:rsid w:val="00E8504E"/>
    <w:rsid w:val="00E86F7B"/>
    <w:rsid w:val="00E97AC8"/>
    <w:rsid w:val="00EA0307"/>
    <w:rsid w:val="00EA0D9A"/>
    <w:rsid w:val="00EA2EAE"/>
    <w:rsid w:val="00EA4F60"/>
    <w:rsid w:val="00EA6959"/>
    <w:rsid w:val="00EB2430"/>
    <w:rsid w:val="00EB27F3"/>
    <w:rsid w:val="00EB3B1E"/>
    <w:rsid w:val="00EB5B68"/>
    <w:rsid w:val="00EC0DE6"/>
    <w:rsid w:val="00EC3288"/>
    <w:rsid w:val="00EC342D"/>
    <w:rsid w:val="00EC3670"/>
    <w:rsid w:val="00EC6211"/>
    <w:rsid w:val="00EC6296"/>
    <w:rsid w:val="00EC70F6"/>
    <w:rsid w:val="00EC7F60"/>
    <w:rsid w:val="00ED10BE"/>
    <w:rsid w:val="00ED1A80"/>
    <w:rsid w:val="00ED25E6"/>
    <w:rsid w:val="00ED40CE"/>
    <w:rsid w:val="00ED43EA"/>
    <w:rsid w:val="00ED73CB"/>
    <w:rsid w:val="00ED7E77"/>
    <w:rsid w:val="00EE109E"/>
    <w:rsid w:val="00EE1A57"/>
    <w:rsid w:val="00EE5EA9"/>
    <w:rsid w:val="00EF1957"/>
    <w:rsid w:val="00EF211B"/>
    <w:rsid w:val="00EF427C"/>
    <w:rsid w:val="00EF5996"/>
    <w:rsid w:val="00EF60BC"/>
    <w:rsid w:val="00EF62D9"/>
    <w:rsid w:val="00F00D9F"/>
    <w:rsid w:val="00F018FD"/>
    <w:rsid w:val="00F02872"/>
    <w:rsid w:val="00F075A8"/>
    <w:rsid w:val="00F12470"/>
    <w:rsid w:val="00F14862"/>
    <w:rsid w:val="00F16431"/>
    <w:rsid w:val="00F16498"/>
    <w:rsid w:val="00F170B1"/>
    <w:rsid w:val="00F242D0"/>
    <w:rsid w:val="00F25287"/>
    <w:rsid w:val="00F268C7"/>
    <w:rsid w:val="00F30D90"/>
    <w:rsid w:val="00F34B4A"/>
    <w:rsid w:val="00F34D2B"/>
    <w:rsid w:val="00F42199"/>
    <w:rsid w:val="00F42BDA"/>
    <w:rsid w:val="00F44524"/>
    <w:rsid w:val="00F47A35"/>
    <w:rsid w:val="00F55CCB"/>
    <w:rsid w:val="00F55F9C"/>
    <w:rsid w:val="00F572E3"/>
    <w:rsid w:val="00F57D9B"/>
    <w:rsid w:val="00F603AF"/>
    <w:rsid w:val="00F617F9"/>
    <w:rsid w:val="00F6444D"/>
    <w:rsid w:val="00F65431"/>
    <w:rsid w:val="00F675F5"/>
    <w:rsid w:val="00F7222F"/>
    <w:rsid w:val="00F742E6"/>
    <w:rsid w:val="00F75097"/>
    <w:rsid w:val="00F82FEA"/>
    <w:rsid w:val="00F91682"/>
    <w:rsid w:val="00F92165"/>
    <w:rsid w:val="00F93E92"/>
    <w:rsid w:val="00FA0390"/>
    <w:rsid w:val="00FA1685"/>
    <w:rsid w:val="00FA52F6"/>
    <w:rsid w:val="00FA5F1B"/>
    <w:rsid w:val="00FB2C90"/>
    <w:rsid w:val="00FB62AE"/>
    <w:rsid w:val="00FB686B"/>
    <w:rsid w:val="00FB6B4C"/>
    <w:rsid w:val="00FB72D1"/>
    <w:rsid w:val="00FC2221"/>
    <w:rsid w:val="00FC406C"/>
    <w:rsid w:val="00FD7BA4"/>
    <w:rsid w:val="00FE2463"/>
    <w:rsid w:val="00FE3E91"/>
    <w:rsid w:val="00FE6663"/>
    <w:rsid w:val="00FF19A7"/>
    <w:rsid w:val="00FF4B64"/>
    <w:rsid w:val="00FF6994"/>
    <w:rsid w:val="30754D2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6"/>
    <w:semiHidden/>
    <w:uiPriority w:val="0"/>
    <w:pPr>
      <w:shd w:val="clear" w:color="auto" w:fill="000080"/>
    </w:pPr>
  </w:style>
  <w:style w:type="paragraph" w:styleId="3">
    <w:name w:val="Body Text Indent"/>
    <w:basedOn w:val="1"/>
    <w:link w:val="21"/>
    <w:uiPriority w:val="0"/>
    <w:pPr>
      <w:ind w:left="1498" w:leftChars="1" w:hanging="1496" w:hangingChars="340"/>
    </w:pPr>
    <w:rPr>
      <w:sz w:val="44"/>
    </w:rPr>
  </w:style>
  <w:style w:type="paragraph" w:styleId="4">
    <w:name w:val="Plain Text"/>
    <w:basedOn w:val="1"/>
    <w:link w:val="20"/>
    <w:qFormat/>
    <w:uiPriority w:val="0"/>
    <w:rPr>
      <w:rFonts w:ascii="宋体" w:hAnsi="Courier New"/>
      <w:szCs w:val="21"/>
    </w:rPr>
  </w:style>
  <w:style w:type="paragraph" w:styleId="5">
    <w:name w:val="Date"/>
    <w:basedOn w:val="1"/>
    <w:next w:val="1"/>
    <w:link w:val="19"/>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link w:val="18"/>
    <w:uiPriority w:val="0"/>
    <w:pPr>
      <w:tabs>
        <w:tab w:val="center" w:pos="4153"/>
        <w:tab w:val="right" w:pos="8306"/>
      </w:tabs>
      <w:snapToGrid w:val="0"/>
      <w:jc w:val="left"/>
    </w:pPr>
    <w:rPr>
      <w:sz w:val="18"/>
      <w:szCs w:val="18"/>
    </w:rPr>
  </w:style>
  <w:style w:type="paragraph" w:styleId="8">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uiPriority w:val="0"/>
    <w:pPr>
      <w:spacing w:after="120"/>
      <w:ind w:left="420" w:leftChars="200"/>
    </w:pPr>
    <w:rPr>
      <w:rFonts w:eastAsia="仿宋_GB2312"/>
      <w:sz w:val="16"/>
      <w:szCs w:val="16"/>
    </w:rPr>
  </w:style>
  <w:style w:type="paragraph" w:styleId="10">
    <w:name w:val="Normal (Web)"/>
    <w:basedOn w:val="1"/>
    <w:uiPriority w:val="0"/>
    <w:pPr>
      <w:widowControl/>
      <w:spacing w:before="100" w:beforeAutospacing="1" w:after="100" w:afterAutospacing="1"/>
      <w:jc w:val="left"/>
    </w:pPr>
    <w:rPr>
      <w:rFonts w:ascii="宋体" w:hAnsi="宋体" w:cs="宋体"/>
      <w:kern w:val="0"/>
      <w:sz w:val="24"/>
    </w:rPr>
  </w:style>
  <w:style w:type="character" w:styleId="12">
    <w:name w:val="page number"/>
    <w:basedOn w:val="11"/>
    <w:uiPriority w:val="0"/>
    <w:rPr>
      <w:rFonts w:cs="Times New Roman"/>
    </w:rPr>
  </w:style>
  <w:style w:type="character" w:styleId="13">
    <w:name w:val="Hyperlink"/>
    <w:basedOn w:val="11"/>
    <w:qFormat/>
    <w:uiPriority w:val="0"/>
    <w:rPr>
      <w:color w:val="0000FF"/>
      <w:u w:val="single"/>
    </w:rPr>
  </w:style>
  <w:style w:type="paragraph" w:customStyle="1" w:styleId="15">
    <w:name w:val="Char Char1 Char Char Char Char"/>
    <w:basedOn w:val="2"/>
    <w:semiHidden/>
    <w:uiPriority w:val="0"/>
    <w:rPr>
      <w:rFonts w:ascii="Tahoma" w:hAnsi="Tahoma"/>
      <w:sz w:val="24"/>
    </w:rPr>
  </w:style>
  <w:style w:type="character" w:customStyle="1" w:styleId="16">
    <w:name w:val="文档结构图 Char"/>
    <w:basedOn w:val="11"/>
    <w:link w:val="2"/>
    <w:semiHidden/>
    <w:locked/>
    <w:uiPriority w:val="0"/>
    <w:rPr>
      <w:rFonts w:cs="Times New Roman"/>
      <w:kern w:val="2"/>
      <w:sz w:val="2"/>
    </w:rPr>
  </w:style>
  <w:style w:type="character" w:customStyle="1" w:styleId="17">
    <w:name w:val="页眉 Char"/>
    <w:basedOn w:val="11"/>
    <w:link w:val="8"/>
    <w:semiHidden/>
    <w:locked/>
    <w:uiPriority w:val="0"/>
    <w:rPr>
      <w:rFonts w:cs="Times New Roman"/>
      <w:kern w:val="2"/>
      <w:sz w:val="18"/>
      <w:szCs w:val="18"/>
    </w:rPr>
  </w:style>
  <w:style w:type="character" w:customStyle="1" w:styleId="18">
    <w:name w:val="页脚 Char"/>
    <w:basedOn w:val="11"/>
    <w:link w:val="7"/>
    <w:semiHidden/>
    <w:locked/>
    <w:uiPriority w:val="0"/>
    <w:rPr>
      <w:rFonts w:cs="Times New Roman"/>
      <w:kern w:val="2"/>
      <w:sz w:val="18"/>
      <w:szCs w:val="18"/>
    </w:rPr>
  </w:style>
  <w:style w:type="character" w:customStyle="1" w:styleId="19">
    <w:name w:val="日期 Char"/>
    <w:basedOn w:val="11"/>
    <w:link w:val="5"/>
    <w:semiHidden/>
    <w:qFormat/>
    <w:locked/>
    <w:uiPriority w:val="0"/>
    <w:rPr>
      <w:rFonts w:cs="Times New Roman"/>
      <w:kern w:val="2"/>
      <w:sz w:val="24"/>
      <w:szCs w:val="24"/>
    </w:rPr>
  </w:style>
  <w:style w:type="character" w:customStyle="1" w:styleId="20">
    <w:name w:val="纯文本 Char"/>
    <w:basedOn w:val="11"/>
    <w:link w:val="4"/>
    <w:semiHidden/>
    <w:qFormat/>
    <w:locked/>
    <w:uiPriority w:val="0"/>
    <w:rPr>
      <w:rFonts w:ascii="宋体" w:hAnsi="Courier New" w:cs="Courier New"/>
      <w:sz w:val="21"/>
      <w:szCs w:val="21"/>
    </w:rPr>
  </w:style>
  <w:style w:type="character" w:customStyle="1" w:styleId="21">
    <w:name w:val="正文文本缩进 Char"/>
    <w:basedOn w:val="11"/>
    <w:link w:val="3"/>
    <w:semiHidden/>
    <w:qFormat/>
    <w:locked/>
    <w:uiPriority w:val="0"/>
    <w:rPr>
      <w:rFonts w:cs="Times New Roman"/>
      <w:sz w:val="24"/>
      <w:szCs w:val="24"/>
    </w:rPr>
  </w:style>
  <w:style w:type="character" w:customStyle="1" w:styleId="22">
    <w:name w:val="apple-converted-space"/>
    <w:basedOn w:val="11"/>
    <w:uiPriority w:val="0"/>
  </w:style>
  <w:style w:type="character" w:customStyle="1" w:styleId="23">
    <w:name w:val="Char Char"/>
    <w:basedOn w:val="11"/>
    <w:uiPriority w:val="0"/>
    <w:rPr>
      <w:rFonts w:ascii="宋体" w:hAnsi="Courier New"/>
      <w:kern w:val="2"/>
      <w:sz w:val="32"/>
    </w:rPr>
  </w:style>
  <w:style w:type="paragraph" w:customStyle="1" w:styleId="24">
    <w:name w:val="文书类型"/>
    <w:next w:val="8"/>
    <w:uiPriority w:val="0"/>
    <w:pPr>
      <w:widowControl w:val="0"/>
      <w:adjustRightInd w:val="0"/>
      <w:spacing w:before="120" w:after="180" w:line="560" w:lineRule="atLeast"/>
      <w:jc w:val="center"/>
    </w:pPr>
    <w:rPr>
      <w:rFonts w:ascii="黑体" w:hAnsi="Times New Roman" w:eastAsia="黑体" w:cs="Times New Roman"/>
      <w:color w:val="FF0000"/>
      <w:spacing w:val="120"/>
      <w:sz w:val="84"/>
      <w:lang w:val="en-US" w:eastAsia="zh-CN" w:bidi="ar-SA"/>
    </w:rPr>
  </w:style>
  <w:style w:type="paragraph" w:customStyle="1" w:styleId="25">
    <w:name w:val="发文单位"/>
    <w:qFormat/>
    <w:uiPriority w:val="0"/>
    <w:pPr>
      <w:widowControl w:val="0"/>
      <w:adjustRightInd w:val="0"/>
      <w:spacing w:before="120" w:after="120" w:line="560" w:lineRule="atLeast"/>
      <w:jc w:val="center"/>
      <w:textAlignment w:val="baseline"/>
    </w:pPr>
    <w:rPr>
      <w:rFonts w:ascii="黑体" w:hAnsi="Times New Roman" w:eastAsia="黑体" w:cs="Times New Roman"/>
      <w:color w:val="FF0000"/>
      <w:spacing w:val="60"/>
      <w:sz w:val="5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KrsesPC Co.,LTD</Company>
  <Pages>6</Pages>
  <Words>451</Words>
  <Characters>2573</Characters>
  <Lines>21</Lines>
  <Paragraphs>6</Paragraphs>
  <TotalTime>0</TotalTime>
  <ScaleCrop>false</ScaleCrop>
  <LinksUpToDate>false</LinksUpToDate>
  <CharactersWithSpaces>3018</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2016-12-23T07:46:00Z</dcterms:created>
  <dc:creator>KrsesPC</dc:creator>
  <cp:lastModifiedBy>Administrator</cp:lastModifiedBy>
  <cp:lastPrinted>2016-12-13T05:31:00Z</cp:lastPrinted>
  <dcterms:modified xsi:type="dcterms:W3CDTF">2017-01-22T08:57:04Z</dcterms:modified>
  <dc:title>张家港市基建审核中心关于“港城通”市民卡项目建设资金审核情况的报告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