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E448B">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eastAsia="zh-CN"/>
        </w:rPr>
        <w:t>附件</w:t>
      </w:r>
      <w:r>
        <w:rPr>
          <w:rFonts w:hint="default" w:ascii="Times New Roman" w:hAnsi="Times New Roman" w:eastAsia="仿宋_GB2312" w:cs="Times New Roman"/>
          <w:sz w:val="32"/>
          <w:szCs w:val="32"/>
          <w:highlight w:val="none"/>
          <w:lang w:val="en-US" w:eastAsia="zh-CN"/>
        </w:rPr>
        <w:t>1：</w:t>
      </w:r>
    </w:p>
    <w:p w14:paraId="3D3844C0">
      <w:pPr>
        <w:keepNext w:val="0"/>
        <w:keepLines w:val="0"/>
        <w:pageBreakBefore w:val="0"/>
        <w:widowControl w:val="0"/>
        <w:kinsoku/>
        <w:wordWrap/>
        <w:overflowPunct/>
        <w:topLinePunct w:val="0"/>
        <w:autoSpaceDE/>
        <w:autoSpaceDN/>
        <w:bidi w:val="0"/>
        <w:adjustRightInd w:val="0"/>
        <w:snapToGrid w:val="0"/>
        <w:spacing w:before="313" w:beforeLines="100" w:after="313" w:afterLines="100" w:line="560" w:lineRule="exact"/>
        <w:jc w:val="center"/>
        <w:textAlignment w:val="auto"/>
        <w:outlineLvl w:val="9"/>
        <w:rPr>
          <w:rFonts w:hint="default" w:ascii="Times New Roman" w:hAnsi="Times New Roman" w:eastAsia="仿宋_GB2312" w:cs="Times New Roman"/>
          <w:sz w:val="32"/>
          <w:szCs w:val="32"/>
          <w:highlight w:val="none"/>
        </w:rPr>
      </w:pPr>
      <w:r>
        <w:rPr>
          <w:rFonts w:hint="default" w:ascii="Times New Roman" w:hAnsi="Times New Roman" w:eastAsia="方正小标宋简体" w:cs="Times New Roman"/>
          <w:sz w:val="44"/>
          <w:szCs w:val="44"/>
          <w:highlight w:val="none"/>
        </w:rPr>
        <w:t>张家港市</w:t>
      </w:r>
      <w:r>
        <w:rPr>
          <w:rFonts w:hint="default" w:ascii="Times New Roman" w:hAnsi="Times New Roman" w:eastAsia="方正小标宋简体" w:cs="Times New Roman"/>
          <w:b/>
          <w:bCs/>
          <w:sz w:val="44"/>
          <w:szCs w:val="44"/>
          <w:highlight w:val="none"/>
        </w:rPr>
        <w:t>20</w:t>
      </w:r>
      <w:r>
        <w:rPr>
          <w:rFonts w:hint="default" w:ascii="Times New Roman" w:hAnsi="Times New Roman" w:eastAsia="方正小标宋简体" w:cs="Times New Roman"/>
          <w:b/>
          <w:bCs/>
          <w:sz w:val="44"/>
          <w:szCs w:val="44"/>
          <w:highlight w:val="none"/>
          <w:lang w:val="en-US" w:eastAsia="zh-CN"/>
        </w:rPr>
        <w:t>25</w:t>
      </w:r>
      <w:r>
        <w:rPr>
          <w:rFonts w:hint="default" w:ascii="Times New Roman" w:hAnsi="Times New Roman" w:eastAsia="方正小标宋简体" w:cs="Times New Roman"/>
          <w:sz w:val="44"/>
          <w:szCs w:val="44"/>
          <w:highlight w:val="none"/>
        </w:rPr>
        <w:t>年省级</w:t>
      </w:r>
      <w:r>
        <w:rPr>
          <w:rFonts w:hint="default" w:ascii="Times New Roman" w:hAnsi="Times New Roman" w:eastAsia="方正小标宋简体" w:cs="Times New Roman"/>
          <w:sz w:val="44"/>
          <w:szCs w:val="44"/>
          <w:highlight w:val="none"/>
          <w:lang w:eastAsia="zh-CN"/>
        </w:rPr>
        <w:t>现代农业发展补助</w:t>
      </w:r>
      <w:r>
        <w:rPr>
          <w:rFonts w:hint="default" w:ascii="Times New Roman" w:hAnsi="Times New Roman" w:eastAsia="方正小标宋简体" w:cs="Times New Roman"/>
          <w:sz w:val="44"/>
          <w:szCs w:val="44"/>
          <w:highlight w:val="none"/>
        </w:rPr>
        <w:t>专项项目申报指南</w:t>
      </w:r>
      <w:r>
        <w:rPr>
          <w:rFonts w:hint="default" w:ascii="Times New Roman" w:hAnsi="Times New Roman" w:eastAsia="仿宋_GB2312" w:cs="Times New Roman"/>
          <w:sz w:val="32"/>
          <w:szCs w:val="32"/>
          <w:highlight w:val="none"/>
        </w:rPr>
        <w:t xml:space="preserve"> </w:t>
      </w:r>
      <w:r>
        <w:rPr>
          <w:rFonts w:hint="eastAsia" w:eastAsia="仿宋_GB2312" w:cs="Times New Roman"/>
          <w:sz w:val="32"/>
          <w:szCs w:val="32"/>
          <w:highlight w:val="none"/>
          <w:lang w:val="en-US" w:eastAsia="zh-CN"/>
        </w:rPr>
        <w:t>(征求意见稿）</w:t>
      </w:r>
      <w:bookmarkStart w:id="2" w:name="_GoBack"/>
      <w:bookmarkEnd w:id="2"/>
      <w:r>
        <w:rPr>
          <w:rFonts w:hint="default" w:ascii="Times New Roman" w:hAnsi="Times New Roman" w:eastAsia="仿宋_GB2312" w:cs="Times New Roman"/>
          <w:sz w:val="32"/>
          <w:szCs w:val="32"/>
          <w:highlight w:val="none"/>
        </w:rPr>
        <w:t xml:space="preserve">   </w:t>
      </w:r>
    </w:p>
    <w:p w14:paraId="5F94C88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为深入推进农业供给侧结构性改革，支持实施乡村振兴战略现代农业提质增效工程，加快构建现代农业产业体系、生产体系、经营体系，提高农业质量效益和竞争力，促进农业增效和农</w:t>
      </w:r>
      <w:r>
        <w:rPr>
          <w:rFonts w:hint="default" w:ascii="Times New Roman" w:hAnsi="Times New Roman" w:eastAsia="仿宋_GB2312" w:cs="Times New Roman"/>
          <w:b w:val="0"/>
          <w:bCs w:val="0"/>
          <w:sz w:val="32"/>
          <w:szCs w:val="32"/>
          <w:highlight w:val="none"/>
        </w:rPr>
        <w:t>民增收，根据</w:t>
      </w:r>
      <w:r>
        <w:rPr>
          <w:rFonts w:hint="default" w:ascii="Times New Roman" w:hAnsi="Times New Roman" w:eastAsia="仿宋_GB2312" w:cs="Times New Roman"/>
          <w:sz w:val="32"/>
          <w:szCs w:val="32"/>
          <w:highlight w:val="none"/>
        </w:rPr>
        <w:t>《关于</w:t>
      </w:r>
      <w:r>
        <w:rPr>
          <w:rFonts w:hint="default" w:ascii="Times New Roman" w:hAnsi="Times New Roman" w:eastAsia="仿宋_GB2312" w:cs="Times New Roman"/>
          <w:sz w:val="32"/>
          <w:szCs w:val="32"/>
          <w:highlight w:val="none"/>
          <w:lang w:eastAsia="zh-CN"/>
        </w:rPr>
        <w:t>印发</w:t>
      </w:r>
      <w:r>
        <w:rPr>
          <w:rFonts w:hint="default" w:ascii="Times New Roman" w:hAnsi="Times New Roman" w:eastAsia="仿宋_GB2312" w:cs="Times New Roman"/>
          <w:sz w:val="32"/>
          <w:szCs w:val="32"/>
          <w:highlight w:val="none"/>
          <w:lang w:val="en-US" w:eastAsia="zh-CN"/>
        </w:rPr>
        <w:t>2025年省级现代农业发展补助专项实施意见</w:t>
      </w:r>
      <w:r>
        <w:rPr>
          <w:rFonts w:hint="default" w:ascii="Times New Roman" w:hAnsi="Times New Roman" w:eastAsia="仿宋_GB2312" w:cs="Times New Roman"/>
          <w:sz w:val="32"/>
          <w:szCs w:val="32"/>
          <w:highlight w:val="none"/>
          <w:lang w:eastAsia="zh-CN"/>
        </w:rPr>
        <w:t>的通知</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苏</w:t>
      </w:r>
      <w:r>
        <w:rPr>
          <w:rFonts w:hint="default" w:ascii="Times New Roman" w:hAnsi="Times New Roman" w:eastAsia="仿宋_GB2312" w:cs="Times New Roman"/>
          <w:sz w:val="32"/>
          <w:szCs w:val="32"/>
          <w:highlight w:val="none"/>
          <w:lang w:eastAsia="zh-CN"/>
        </w:rPr>
        <w:t>农计</w:t>
      </w:r>
      <w:r>
        <w:rPr>
          <w:rFonts w:hint="default" w:ascii="Times New Roman" w:hAnsi="Times New Roman" w:eastAsia="仿宋_GB2312" w:cs="Times New Roman"/>
          <w:sz w:val="32"/>
          <w:szCs w:val="32"/>
          <w:highlight w:val="none"/>
        </w:rPr>
        <w:t>〔202</w:t>
      </w:r>
      <w:r>
        <w:rPr>
          <w:rFonts w:hint="default" w:ascii="Times New Roman" w:hAnsi="Times New Roman" w:eastAsia="仿宋_GB2312" w:cs="Times New Roman"/>
          <w:sz w:val="32"/>
          <w:szCs w:val="32"/>
          <w:highlight w:val="none"/>
          <w:lang w:val="en-US" w:eastAsia="zh-CN"/>
        </w:rPr>
        <w:t>5</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21</w:t>
      </w:r>
      <w:r>
        <w:rPr>
          <w:rFonts w:hint="default" w:ascii="Times New Roman" w:hAnsi="Times New Roman" w:eastAsia="仿宋_GB2312" w:cs="Times New Roman"/>
          <w:sz w:val="32"/>
          <w:szCs w:val="32"/>
          <w:highlight w:val="none"/>
        </w:rPr>
        <w:t>号）</w:t>
      </w:r>
      <w:r>
        <w:rPr>
          <w:rFonts w:hint="default" w:ascii="Times New Roman" w:hAnsi="Times New Roman" w:eastAsia="仿宋_GB2312" w:cs="Times New Roman"/>
          <w:b w:val="0"/>
          <w:bCs w:val="0"/>
          <w:sz w:val="32"/>
          <w:szCs w:val="32"/>
          <w:highlight w:val="none"/>
          <w:lang w:val="en-US" w:eastAsia="zh-CN"/>
        </w:rPr>
        <w:t>等</w:t>
      </w:r>
      <w:r>
        <w:rPr>
          <w:rFonts w:hint="default" w:ascii="Times New Roman" w:hAnsi="Times New Roman" w:eastAsia="仿宋_GB2312" w:cs="Times New Roman"/>
          <w:b w:val="0"/>
          <w:bCs w:val="0"/>
          <w:sz w:val="32"/>
          <w:szCs w:val="32"/>
          <w:highlight w:val="none"/>
          <w:lang w:eastAsia="zh-CN"/>
        </w:rPr>
        <w:t>文件精神，</w:t>
      </w:r>
      <w:r>
        <w:rPr>
          <w:rFonts w:hint="default" w:ascii="Times New Roman" w:hAnsi="Times New Roman" w:eastAsia="仿宋_GB2312" w:cs="Times New Roman"/>
          <w:b w:val="0"/>
          <w:bCs w:val="0"/>
          <w:sz w:val="32"/>
          <w:szCs w:val="32"/>
          <w:highlight w:val="none"/>
        </w:rPr>
        <w:t>结合</w:t>
      </w:r>
      <w:r>
        <w:rPr>
          <w:rFonts w:hint="default" w:ascii="Times New Roman" w:hAnsi="Times New Roman" w:eastAsia="仿宋_GB2312" w:cs="Times New Roman"/>
          <w:sz w:val="32"/>
          <w:szCs w:val="32"/>
          <w:highlight w:val="none"/>
        </w:rPr>
        <w:t>本市实际，制定</w:t>
      </w:r>
      <w:r>
        <w:rPr>
          <w:rFonts w:hint="default" w:ascii="Times New Roman" w:hAnsi="Times New Roman" w:eastAsia="仿宋_GB2312" w:cs="Times New Roman"/>
          <w:sz w:val="32"/>
          <w:szCs w:val="32"/>
          <w:highlight w:val="none"/>
          <w:lang w:eastAsia="zh-CN"/>
        </w:rPr>
        <w:t>本申报指南</w:t>
      </w:r>
      <w:r>
        <w:rPr>
          <w:rFonts w:hint="default" w:ascii="Times New Roman" w:hAnsi="Times New Roman" w:eastAsia="仿宋_GB2312" w:cs="Times New Roman"/>
          <w:sz w:val="32"/>
          <w:szCs w:val="32"/>
          <w:highlight w:val="none"/>
        </w:rPr>
        <w:t>。</w:t>
      </w:r>
    </w:p>
    <w:p w14:paraId="671AC87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cs="Times New Roman"/>
        </w:rPr>
      </w:pPr>
      <w:r>
        <w:rPr>
          <w:rFonts w:hint="default" w:ascii="Times New Roman" w:hAnsi="Times New Roman" w:eastAsia="黑体" w:cs="Times New Roman"/>
          <w:sz w:val="32"/>
          <w:szCs w:val="32"/>
          <w:highlight w:val="none"/>
          <w:lang w:eastAsia="zh-CN"/>
        </w:rPr>
        <w:t>一、支持方向与环节</w:t>
      </w:r>
    </w:p>
    <w:p w14:paraId="147D5A49">
      <w:pPr>
        <w:keepNext w:val="0"/>
        <w:keepLines w:val="0"/>
        <w:pageBreakBefore w:val="0"/>
        <w:widowControl w:val="0"/>
        <w:kinsoku/>
        <w:wordWrap/>
        <w:overflowPunct/>
        <w:topLinePunct w:val="0"/>
        <w:autoSpaceDE/>
        <w:autoSpaceDN/>
        <w:bidi w:val="0"/>
        <w:adjustRightInd/>
        <w:snapToGrid/>
        <w:spacing w:line="560" w:lineRule="exact"/>
        <w:ind w:left="617" w:leftChars="294" w:firstLine="0" w:firstLineChars="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黑体" w:cs="Times New Roman"/>
          <w:color w:val="000000"/>
          <w:spacing w:val="-8"/>
          <w:sz w:val="32"/>
          <w:lang w:eastAsia="zh-CN"/>
        </w:rPr>
        <w:t>（一）</w:t>
      </w:r>
      <w:r>
        <w:rPr>
          <w:rFonts w:hint="default" w:ascii="Times New Roman" w:hAnsi="Times New Roman" w:eastAsia="黑体" w:cs="Times New Roman"/>
          <w:color w:val="000000"/>
          <w:spacing w:val="-8"/>
          <w:sz w:val="32"/>
        </w:rPr>
        <w:t>支持粮</w:t>
      </w:r>
      <w:r>
        <w:rPr>
          <w:rFonts w:hint="default" w:ascii="Times New Roman" w:hAnsi="Times New Roman" w:eastAsia="黑体" w:cs="Times New Roman"/>
          <w:color w:val="000000"/>
          <w:spacing w:val="-10"/>
          <w:sz w:val="32"/>
        </w:rPr>
        <w:t>食</w:t>
      </w:r>
      <w:r>
        <w:rPr>
          <w:rFonts w:hint="default" w:ascii="Times New Roman" w:hAnsi="Times New Roman" w:eastAsia="黑体" w:cs="Times New Roman"/>
          <w:color w:val="000000"/>
          <w:spacing w:val="-8"/>
          <w:sz w:val="32"/>
        </w:rPr>
        <w:t>和重要农产品</w:t>
      </w:r>
      <w:r>
        <w:rPr>
          <w:rFonts w:hint="default" w:ascii="Times New Roman" w:hAnsi="Times New Roman" w:eastAsia="黑体" w:cs="Times New Roman"/>
          <w:color w:val="000000"/>
          <w:spacing w:val="-10"/>
          <w:sz w:val="32"/>
        </w:rPr>
        <w:t>稳</w:t>
      </w:r>
      <w:r>
        <w:rPr>
          <w:rFonts w:hint="default" w:ascii="Times New Roman" w:hAnsi="Times New Roman" w:eastAsia="黑体" w:cs="Times New Roman"/>
          <w:color w:val="000000"/>
          <w:spacing w:val="-6"/>
          <w:sz w:val="32"/>
        </w:rPr>
        <w:t>产保</w:t>
      </w:r>
      <w:r>
        <w:rPr>
          <w:rFonts w:hint="default" w:ascii="Times New Roman" w:hAnsi="Times New Roman" w:eastAsia="黑体" w:cs="Times New Roman"/>
          <w:color w:val="000000"/>
          <w:sz w:val="32"/>
        </w:rPr>
        <w:t>供</w:t>
      </w:r>
      <w:r>
        <w:rPr>
          <w:rFonts w:hint="default" w:ascii="Times New Roman" w:hAnsi="Times New Roman" w:cs="Times New Roman"/>
        </w:rPr>
        <w:br w:type="textWrapping"/>
      </w:r>
      <w:r>
        <w:rPr>
          <w:rFonts w:hint="default" w:ascii="Times New Roman" w:hAnsi="Times New Roman" w:eastAsia="楷体_GB2312" w:cs="Times New Roman"/>
          <w:b/>
          <w:bCs/>
          <w:sz w:val="32"/>
          <w:szCs w:val="32"/>
          <w:lang w:val="en-US" w:eastAsia="zh-CN"/>
        </w:rPr>
        <w:t>1.支持粮油大面积单产提升。</w:t>
      </w:r>
      <w:r>
        <w:rPr>
          <w:rFonts w:hint="default" w:ascii="Times New Roman" w:hAnsi="Times New Roman" w:eastAsia="仿宋_GB2312" w:cs="Times New Roman"/>
          <w:sz w:val="32"/>
          <w:szCs w:val="32"/>
          <w:lang w:val="en-US" w:eastAsia="zh-CN"/>
        </w:rPr>
        <w:t>支持组织各类生产主体、专业</w:t>
      </w:r>
    </w:p>
    <w:p w14:paraId="74565E5C">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化服务组织等参与建设具有一定规模的粮油高产优质片区，加强周年协同高产高效技术模式推广应用，带动提高关键技术到位率，促进大面积均衡增产，发展订单生产，推动优质优价。支持推广大豆玉米带状复合种植，优先引导种植大户、家庭农场、农民合作社等适度规模种植主体集中连片开展种植，加快技术本土化、熟化进程。</w:t>
      </w:r>
    </w:p>
    <w:p w14:paraId="1B10DAD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2.支持农田基础设施建设。</w:t>
      </w:r>
      <w:r>
        <w:rPr>
          <w:rFonts w:hint="default" w:ascii="Times New Roman" w:hAnsi="Times New Roman" w:eastAsia="仿宋_GB2312" w:cs="Times New Roman"/>
          <w:sz w:val="32"/>
          <w:szCs w:val="32"/>
          <w:lang w:val="en-US" w:eastAsia="zh-CN"/>
        </w:rPr>
        <w:t>支持新建或改造提升一批高标准农田。根据《关于开展耕地有机质提升行动的通知》（苏农建〔2024〕14号）要求</w:t>
      </w:r>
      <w:r>
        <w:rPr>
          <w:rFonts w:hint="eastAsia" w:ascii="Times New Roman" w:hAnsi="Times New Roman" w:eastAsia="仿宋_GB2312" w:cs="Times New Roman"/>
          <w:sz w:val="32"/>
          <w:szCs w:val="32"/>
          <w:lang w:val="en-US" w:eastAsia="zh-CN"/>
        </w:rPr>
        <w:t>继续支持</w:t>
      </w:r>
      <w:r>
        <w:rPr>
          <w:rFonts w:hint="default" w:ascii="Times New Roman" w:hAnsi="Times New Roman" w:eastAsia="仿宋_GB2312" w:cs="Times New Roman"/>
          <w:sz w:val="32"/>
          <w:szCs w:val="32"/>
          <w:lang w:val="en-US" w:eastAsia="zh-CN"/>
        </w:rPr>
        <w:t>实施耕地有机质提升行动，落实</w:t>
      </w:r>
      <w:r>
        <w:rPr>
          <w:rFonts w:hint="eastAsia"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年深翻+3年连续施用有机肥”技术路径，推广绿色种养循环和有机肥替代化肥等用地养地模式。</w:t>
      </w:r>
    </w:p>
    <w:p w14:paraId="0A889D4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b/>
          <w:bCs/>
          <w:sz w:val="32"/>
          <w:szCs w:val="32"/>
          <w:lang w:val="en-US" w:eastAsia="zh-CN"/>
        </w:rPr>
        <w:t>3</w:t>
      </w:r>
      <w:r>
        <w:rPr>
          <w:rFonts w:hint="default" w:ascii="Times New Roman" w:hAnsi="Times New Roman" w:eastAsia="楷体_GB2312" w:cs="Times New Roman"/>
          <w:b/>
          <w:bCs/>
          <w:sz w:val="32"/>
          <w:szCs w:val="32"/>
          <w:lang w:val="en-US" w:eastAsia="zh-CN"/>
        </w:rPr>
        <w:t>.支持现代设施农业发展。</w:t>
      </w:r>
      <w:r>
        <w:rPr>
          <w:rFonts w:hint="default" w:ascii="Times New Roman" w:hAnsi="Times New Roman" w:eastAsia="仿宋_GB2312" w:cs="Times New Roman"/>
          <w:sz w:val="32"/>
          <w:szCs w:val="32"/>
          <w:lang w:val="en-US" w:eastAsia="zh-CN"/>
        </w:rPr>
        <w:t>支持农业生产经营主体新建设施棚室和改造提升老旧设施棚室，提升设施种植标准化、宜机化、智能化发展水平。支持畜禽养殖场（户）、畜禽养殖密集区的粪污集中收集处理中心（运转站）配套完善、改造提升畜禽粪污处理、臭气减控设施设备，提升畜禽粪污资源化利用水平。支持通过加强养殖生产基础设施建设等，促进养殖尾水达标，保障水产品质量安全。</w:t>
      </w:r>
      <w:r>
        <w:rPr>
          <w:rFonts w:hint="eastAsia" w:ascii="Times New Roman" w:hAnsi="Times New Roman" w:eastAsia="仿宋_GB2312" w:cs="Times New Roman"/>
          <w:color w:val="auto"/>
          <w:sz w:val="32"/>
          <w:szCs w:val="32"/>
          <w:lang w:val="en-US" w:eastAsia="zh-CN"/>
        </w:rPr>
        <w:t>该支持方向采用</w:t>
      </w:r>
      <w:r>
        <w:rPr>
          <w:rFonts w:hint="default" w:ascii="Times New Roman" w:hAnsi="Times New Roman" w:eastAsia="仿宋_GB2312" w:cs="Times New Roman"/>
          <w:color w:val="auto"/>
          <w:sz w:val="32"/>
          <w:szCs w:val="32"/>
        </w:rPr>
        <w:t>竞争立项方式</w:t>
      </w:r>
      <w:r>
        <w:rPr>
          <w:rFonts w:hint="eastAsia" w:ascii="Times New Roman" w:hAnsi="Times New Roman" w:eastAsia="仿宋_GB2312" w:cs="Times New Roman"/>
          <w:color w:val="auto"/>
          <w:sz w:val="32"/>
          <w:szCs w:val="32"/>
          <w:lang w:val="en-US" w:eastAsia="zh-CN"/>
        </w:rPr>
        <w:t>确定支持项目，具体申报要求另行发文。</w:t>
      </w:r>
    </w:p>
    <w:p w14:paraId="26FC2109">
      <w:pPr>
        <w:keepNext w:val="0"/>
        <w:keepLines w:val="0"/>
        <w:pageBreakBefore w:val="0"/>
        <w:widowControl/>
        <w:tabs>
          <w:tab w:val="left" w:pos="772"/>
        </w:tabs>
        <w:kinsoku/>
        <w:wordWrap/>
        <w:overflowPunct/>
        <w:topLinePunct w:val="0"/>
        <w:autoSpaceDE w:val="0"/>
        <w:autoSpaceDN w:val="0"/>
        <w:bidi w:val="0"/>
        <w:spacing w:before="4" w:after="0" w:line="560" w:lineRule="exact"/>
        <w:ind w:left="148" w:right="144" w:firstLine="0"/>
        <w:jc w:val="left"/>
        <w:textAlignment w:val="auto"/>
        <w:rPr>
          <w:rFonts w:hint="default" w:ascii="Times New Roman" w:hAnsi="Times New Roman" w:eastAsia="黑体" w:cs="Times New Roman"/>
          <w:color w:val="000000"/>
          <w:sz w:val="32"/>
          <w:szCs w:val="32"/>
        </w:rPr>
      </w:pPr>
      <w:r>
        <w:rPr>
          <w:rFonts w:hint="default" w:ascii="Times New Roman" w:hAnsi="Times New Roman" w:cs="Times New Roman"/>
        </w:rPr>
        <w:tab/>
      </w:r>
      <w:r>
        <w:rPr>
          <w:rFonts w:hint="default" w:ascii="Times New Roman" w:hAnsi="Times New Roman" w:eastAsia="黑体" w:cs="Times New Roman"/>
          <w:sz w:val="32"/>
          <w:szCs w:val="32"/>
          <w:lang w:eastAsia="zh-CN"/>
        </w:rPr>
        <w:t>（二）</w:t>
      </w:r>
      <w:r>
        <w:rPr>
          <w:rFonts w:hint="default" w:ascii="Times New Roman" w:hAnsi="Times New Roman" w:eastAsia="黑体" w:cs="Times New Roman"/>
          <w:color w:val="000000"/>
          <w:spacing w:val="-8"/>
          <w:sz w:val="32"/>
          <w:szCs w:val="32"/>
        </w:rPr>
        <w:t>支持为</w:t>
      </w:r>
      <w:r>
        <w:rPr>
          <w:rFonts w:hint="default" w:ascii="Times New Roman" w:hAnsi="Times New Roman" w:eastAsia="黑体" w:cs="Times New Roman"/>
          <w:color w:val="000000"/>
          <w:spacing w:val="-10"/>
          <w:sz w:val="32"/>
          <w:szCs w:val="32"/>
        </w:rPr>
        <w:t>农</w:t>
      </w:r>
      <w:r>
        <w:rPr>
          <w:rFonts w:hint="default" w:ascii="Times New Roman" w:hAnsi="Times New Roman" w:eastAsia="黑体" w:cs="Times New Roman"/>
          <w:color w:val="000000"/>
          <w:spacing w:val="-8"/>
          <w:sz w:val="32"/>
          <w:szCs w:val="32"/>
        </w:rPr>
        <w:t>服务技术装备提</w:t>
      </w:r>
      <w:r>
        <w:rPr>
          <w:rFonts w:hint="default" w:ascii="Times New Roman" w:hAnsi="Times New Roman" w:eastAsia="黑体" w:cs="Times New Roman"/>
          <w:color w:val="000000"/>
          <w:sz w:val="32"/>
          <w:szCs w:val="32"/>
        </w:rPr>
        <w:t>升</w:t>
      </w:r>
    </w:p>
    <w:p w14:paraId="1514844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1.</w:t>
      </w:r>
      <w:r>
        <w:rPr>
          <w:rFonts w:hint="default" w:ascii="Times New Roman" w:hAnsi="Times New Roman" w:eastAsia="楷体_GB2312" w:cs="Times New Roman"/>
          <w:b/>
          <w:bCs/>
          <w:sz w:val="32"/>
          <w:szCs w:val="32"/>
        </w:rPr>
        <w:t>支持区域性农业综合服务中心建设。</w:t>
      </w:r>
      <w:r>
        <w:rPr>
          <w:rFonts w:hint="default" w:ascii="Times New Roman" w:hAnsi="Times New Roman" w:eastAsia="仿宋_GB2312" w:cs="Times New Roman"/>
          <w:sz w:val="32"/>
          <w:szCs w:val="32"/>
        </w:rPr>
        <w:t>支持以县域为单位、以规划为引领，依托现有农技推广服务力量和农业社会化服务资源，坚持公益性和市场化相结合，因地制宜推进区域性农业综合服务中心建设，实现农技和农事服务功能合理配置，为小农户和农业生产经营主体集成式提供产前产中产后服务、农技推广应用、农情监测与应急调度、农业智能化管理等全过程全链条的综合性服务。</w:t>
      </w:r>
    </w:p>
    <w:p w14:paraId="16056D1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eastAsia" w:ascii="Times New Roman" w:hAnsi="Times New Roman" w:eastAsia="楷体_GB2312" w:cs="Times New Roman"/>
          <w:b/>
          <w:bCs/>
          <w:sz w:val="32"/>
          <w:szCs w:val="32"/>
          <w:lang w:val="en-US" w:eastAsia="zh-CN"/>
        </w:rPr>
        <w:t>2</w:t>
      </w:r>
      <w:r>
        <w:rPr>
          <w:rFonts w:hint="default" w:ascii="Times New Roman" w:hAnsi="Times New Roman" w:eastAsia="楷体_GB2312" w:cs="Times New Roman"/>
          <w:b/>
          <w:bCs/>
          <w:sz w:val="32"/>
          <w:szCs w:val="32"/>
          <w:lang w:val="en-US" w:eastAsia="zh-CN"/>
        </w:rPr>
        <w:t>.</w:t>
      </w:r>
      <w:r>
        <w:rPr>
          <w:rFonts w:hint="default" w:ascii="Times New Roman" w:hAnsi="Times New Roman" w:eastAsia="楷体_GB2312" w:cs="Times New Roman"/>
          <w:b/>
          <w:bCs/>
          <w:sz w:val="32"/>
          <w:szCs w:val="32"/>
        </w:rPr>
        <w:t>支持现代农机装备与技术推广。</w:t>
      </w:r>
      <w:r>
        <w:rPr>
          <w:rFonts w:hint="default" w:ascii="Times New Roman" w:hAnsi="Times New Roman" w:eastAsia="仿宋_GB2312" w:cs="Times New Roman"/>
          <w:sz w:val="32"/>
          <w:szCs w:val="32"/>
        </w:rPr>
        <w:t>支持从事农业生产的农民和农业生产经营组织，购置使用纳入中央和省级农机购置与应用补贴范围的机具，具体按照《2024-2026年江苏省农机购置与应用补贴实施意见》（苏农机〔2024〕19号）等要求执行。</w:t>
      </w:r>
    </w:p>
    <w:p w14:paraId="50690C3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eastAsia" w:ascii="Times New Roman" w:hAnsi="Times New Roman" w:eastAsia="楷体_GB2312" w:cs="Times New Roman"/>
          <w:b/>
          <w:bCs/>
          <w:sz w:val="32"/>
          <w:szCs w:val="32"/>
          <w:lang w:val="en-US" w:eastAsia="zh-CN"/>
        </w:rPr>
        <w:t>3</w:t>
      </w:r>
      <w:r>
        <w:rPr>
          <w:rFonts w:hint="default" w:ascii="Times New Roman" w:hAnsi="Times New Roman" w:eastAsia="楷体_GB2312" w:cs="Times New Roman"/>
          <w:b/>
          <w:bCs/>
          <w:sz w:val="32"/>
          <w:szCs w:val="32"/>
          <w:lang w:val="en-US" w:eastAsia="zh-CN"/>
        </w:rPr>
        <w:t>.</w:t>
      </w:r>
      <w:r>
        <w:rPr>
          <w:rFonts w:hint="default" w:ascii="Times New Roman" w:hAnsi="Times New Roman" w:eastAsia="楷体_GB2312" w:cs="Times New Roman"/>
          <w:b/>
          <w:bCs/>
          <w:sz w:val="32"/>
          <w:szCs w:val="32"/>
        </w:rPr>
        <w:t>支持现代种业发展。</w:t>
      </w:r>
      <w:r>
        <w:rPr>
          <w:rFonts w:hint="default" w:ascii="Times New Roman" w:hAnsi="Times New Roman" w:eastAsia="仿宋_GB2312" w:cs="Times New Roman"/>
          <w:sz w:val="32"/>
          <w:szCs w:val="32"/>
        </w:rPr>
        <w:t>支持省级畜禽（含蚕）遗传资源保种场（保护区、基因库）等开展农业种质资源收集保护和开发利用。</w:t>
      </w:r>
      <w:r>
        <w:rPr>
          <w:rFonts w:hint="default" w:ascii="Times New Roman" w:hAnsi="Times New Roman" w:eastAsia="仿宋_GB2312" w:cs="Times New Roman"/>
          <w:sz w:val="32"/>
          <w:szCs w:val="32"/>
          <w:highlight w:val="none"/>
        </w:rPr>
        <w:t>支持符合条件的水产苗种生产、繁育单位开展特色经济品种、珍贵濒危、区域性物种等原种保存、良种培育、亲本更新等保种育种工作。支持种子市场例行检测、农作物品种综合性测试、展示和种畜禽</w:t>
      </w:r>
      <w:r>
        <w:rPr>
          <w:rFonts w:hint="default" w:ascii="Times New Roman" w:hAnsi="Times New Roman" w:eastAsia="仿宋_GB2312" w:cs="Times New Roman"/>
          <w:sz w:val="32"/>
          <w:szCs w:val="32"/>
        </w:rPr>
        <w:t>质量安全监管。</w:t>
      </w:r>
    </w:p>
    <w:p w14:paraId="189B2742">
      <w:pPr>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color w:val="000000"/>
          <w:spacing w:val="-8"/>
          <w:sz w:val="32"/>
          <w:lang w:eastAsia="zh-CN"/>
        </w:rPr>
        <w:t>（三）</w:t>
      </w:r>
      <w:r>
        <w:rPr>
          <w:rFonts w:hint="default" w:ascii="Times New Roman" w:hAnsi="Times New Roman" w:eastAsia="黑体" w:cs="Times New Roman"/>
          <w:color w:val="000000"/>
          <w:spacing w:val="-8"/>
          <w:sz w:val="32"/>
        </w:rPr>
        <w:t>支持智慧农</w:t>
      </w:r>
      <w:r>
        <w:rPr>
          <w:rFonts w:hint="default" w:ascii="Times New Roman" w:hAnsi="Times New Roman" w:eastAsia="黑体" w:cs="Times New Roman"/>
          <w:color w:val="000000"/>
          <w:spacing w:val="-10"/>
          <w:sz w:val="32"/>
        </w:rPr>
        <w:t>业</w:t>
      </w:r>
      <w:r>
        <w:rPr>
          <w:rFonts w:hint="default" w:ascii="Times New Roman" w:hAnsi="Times New Roman" w:eastAsia="黑体" w:cs="Times New Roman"/>
          <w:color w:val="000000"/>
          <w:spacing w:val="-6"/>
          <w:sz w:val="32"/>
        </w:rPr>
        <w:t>建</w:t>
      </w:r>
      <w:r>
        <w:rPr>
          <w:rFonts w:hint="default" w:ascii="Times New Roman" w:hAnsi="Times New Roman" w:eastAsia="黑体" w:cs="Times New Roman"/>
          <w:color w:val="000000"/>
          <w:sz w:val="32"/>
        </w:rPr>
        <w:t>设</w:t>
      </w:r>
      <w:r>
        <w:rPr>
          <w:rFonts w:hint="default" w:ascii="Times New Roman" w:hAnsi="Times New Roman" w:cs="Times New Roman"/>
        </w:rPr>
        <w:br w:type="textWrapping"/>
      </w:r>
      <w:r>
        <w:rPr>
          <w:rFonts w:hint="default" w:ascii="Times New Roman" w:hAnsi="Times New Roman" w:eastAsia="楷体_GB2312" w:cs="Times New Roman"/>
          <w:b/>
          <w:bCs/>
          <w:sz w:val="32"/>
          <w:szCs w:val="32"/>
          <w:lang w:val="en-US" w:eastAsia="zh-CN"/>
        </w:rPr>
        <w:t>支持智慧农场建设。</w:t>
      </w:r>
      <w:r>
        <w:rPr>
          <w:rFonts w:hint="default" w:ascii="Times New Roman" w:hAnsi="Times New Roman" w:eastAsia="仿宋_GB2312" w:cs="Times New Roman"/>
          <w:sz w:val="32"/>
          <w:szCs w:val="32"/>
        </w:rPr>
        <w:t>支持农业生产经营规模主体因地制宜</w:t>
      </w:r>
    </w:p>
    <w:p w14:paraId="5B9B4D7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配备作物生产智能感知、智能分析、智能控制等设施装备、综合管理系统等，打造大田、设施生产智慧场景。支持建设稻麦周年生产智慧农场（农机方向），实现稻麦生产耕种管收等全生产环节无人化驾驶、精准化作业、信息化监测、智能化管控，推进智能农机应用场景建设。</w:t>
      </w:r>
    </w:p>
    <w:p w14:paraId="2239B4C0">
      <w:pPr>
        <w:keepNext w:val="0"/>
        <w:keepLines w:val="0"/>
        <w:pageBreakBefore w:val="0"/>
        <w:widowControl w:val="0"/>
        <w:kinsoku/>
        <w:wordWrap/>
        <w:overflowPunct/>
        <w:topLinePunct w:val="0"/>
        <w:autoSpaceDE/>
        <w:autoSpaceDN/>
        <w:bidi w:val="0"/>
        <w:adjustRightInd/>
        <w:snapToGrid/>
        <w:spacing w:line="560" w:lineRule="exact"/>
        <w:ind w:left="420" w:hanging="420" w:hangingChars="200"/>
        <w:textAlignment w:val="auto"/>
        <w:rPr>
          <w:rFonts w:hint="default" w:ascii="Times New Roman" w:hAnsi="Times New Roman" w:eastAsia="黑体" w:cs="Times New Roman"/>
          <w:color w:val="000000"/>
          <w:sz w:val="32"/>
          <w:szCs w:val="32"/>
        </w:rPr>
      </w:pPr>
      <w:r>
        <w:rPr>
          <w:rFonts w:hint="default" w:ascii="Times New Roman" w:hAnsi="Times New Roman" w:cs="Times New Roman"/>
        </w:rPr>
        <w:tab/>
      </w:r>
      <w:r>
        <w:rPr>
          <w:rFonts w:hint="default" w:ascii="Times New Roman" w:hAnsi="Times New Roman" w:eastAsia="黑体" w:cs="Times New Roman"/>
          <w:sz w:val="32"/>
          <w:szCs w:val="32"/>
          <w:lang w:eastAsia="zh-CN"/>
        </w:rPr>
        <w:t>（四）</w:t>
      </w:r>
      <w:r>
        <w:rPr>
          <w:rFonts w:hint="default" w:ascii="Times New Roman" w:hAnsi="Times New Roman" w:eastAsia="黑体" w:cs="Times New Roman"/>
          <w:color w:val="000000"/>
          <w:spacing w:val="-8"/>
          <w:sz w:val="32"/>
          <w:szCs w:val="32"/>
        </w:rPr>
        <w:t>支持农</w:t>
      </w:r>
      <w:r>
        <w:rPr>
          <w:rFonts w:hint="default" w:ascii="Times New Roman" w:hAnsi="Times New Roman" w:eastAsia="黑体" w:cs="Times New Roman"/>
          <w:color w:val="000000"/>
          <w:spacing w:val="-10"/>
          <w:sz w:val="32"/>
          <w:szCs w:val="32"/>
        </w:rPr>
        <w:t>业</w:t>
      </w:r>
      <w:r>
        <w:rPr>
          <w:rFonts w:hint="default" w:ascii="Times New Roman" w:hAnsi="Times New Roman" w:eastAsia="黑体" w:cs="Times New Roman"/>
          <w:color w:val="000000"/>
          <w:spacing w:val="-8"/>
          <w:sz w:val="32"/>
          <w:szCs w:val="32"/>
        </w:rPr>
        <w:t>安全生</w:t>
      </w:r>
      <w:r>
        <w:rPr>
          <w:rFonts w:hint="default" w:ascii="Times New Roman" w:hAnsi="Times New Roman" w:eastAsia="黑体" w:cs="Times New Roman"/>
          <w:color w:val="000000"/>
          <w:sz w:val="32"/>
          <w:szCs w:val="32"/>
        </w:rPr>
        <w:t>产</w:t>
      </w:r>
    </w:p>
    <w:p w14:paraId="75E3124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bCs/>
          <w:sz w:val="32"/>
          <w:szCs w:val="32"/>
          <w:lang w:val="en-US" w:eastAsia="zh-CN"/>
        </w:rPr>
        <w:t>1.支持农业生产应急救灾。</w:t>
      </w:r>
      <w:r>
        <w:rPr>
          <w:rFonts w:hint="default" w:ascii="Times New Roman" w:hAnsi="Times New Roman" w:eastAsia="仿宋_GB2312" w:cs="Times New Roman"/>
          <w:sz w:val="32"/>
          <w:szCs w:val="32"/>
          <w:lang w:val="en-US" w:eastAsia="zh-CN"/>
        </w:rPr>
        <w:t>支持落实农业防灾减灾救灾</w:t>
      </w:r>
      <w:r>
        <w:rPr>
          <w:rFonts w:hint="eastAsia" w:ascii="Times New Roman" w:hAnsi="Times New Roman" w:eastAsia="仿宋_GB2312" w:cs="Times New Roman"/>
          <w:sz w:val="32"/>
          <w:szCs w:val="32"/>
          <w:lang w:val="en-US" w:eastAsia="zh-CN"/>
        </w:rPr>
        <w:t>任务，</w:t>
      </w:r>
      <w:r>
        <w:rPr>
          <w:rFonts w:hint="default" w:ascii="Times New Roman" w:hAnsi="Times New Roman" w:eastAsia="仿宋_GB2312" w:cs="Times New Roman"/>
          <w:sz w:val="32"/>
          <w:szCs w:val="32"/>
          <w:lang w:val="en-US" w:eastAsia="zh-CN"/>
        </w:rPr>
        <w:t>对承担农业防灾减灾救灾任务、符合条件的受灾主体给予补助，推动灾后恢复生产，支持开展土壤墒情监测，做好干旱、涝渍的农业灾害预警预报。</w:t>
      </w:r>
    </w:p>
    <w:p w14:paraId="206E41B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2.支持动植物病虫害防控。</w:t>
      </w:r>
      <w:r>
        <w:rPr>
          <w:rFonts w:hint="default" w:ascii="Times New Roman" w:hAnsi="Times New Roman" w:eastAsia="仿宋_GB2312" w:cs="Times New Roman"/>
          <w:sz w:val="32"/>
          <w:szCs w:val="32"/>
        </w:rPr>
        <w:t>支持开展强制扑杀、强制免疫、先打后补、养殖和屠宰环节病死猪（病害产品）无害化处理、主要动物疫病流调监测、人兽共患病防控、动物疫病净化和无疫小区建设、兽医社会化服务等工作。支持开展重大水生动物疫病监控、采送样和病害测报工作，做好疫病应急防控处置和规范用药指导，推进水产养殖用药减量，水生动物卫生监督机构开展水产苗种产地检疫。支持开展小麦赤霉病等农作物重大病虫应急防控，重大植物疫情处置，组织相关主体开展重大病虫疫情监测调查、病虫草抗药性和农药有效性监测、农田杂草综合治理等工作。</w:t>
      </w:r>
    </w:p>
    <w:p w14:paraId="294D9A8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none"/>
        </w:rPr>
      </w:pPr>
      <w:r>
        <w:rPr>
          <w:rFonts w:hint="eastAsia" w:ascii="Times New Roman" w:hAnsi="Times New Roman" w:eastAsia="楷体_GB2312" w:cs="Times New Roman"/>
          <w:b/>
          <w:bCs/>
          <w:sz w:val="32"/>
          <w:szCs w:val="32"/>
          <w:highlight w:val="none"/>
          <w:lang w:val="en-US" w:eastAsia="zh-CN"/>
        </w:rPr>
        <w:t>3</w:t>
      </w:r>
      <w:r>
        <w:rPr>
          <w:rFonts w:hint="default" w:ascii="Times New Roman" w:hAnsi="Times New Roman" w:eastAsia="楷体_GB2312" w:cs="Times New Roman"/>
          <w:b/>
          <w:bCs/>
          <w:sz w:val="32"/>
          <w:szCs w:val="32"/>
          <w:highlight w:val="none"/>
          <w:lang w:val="en-US" w:eastAsia="zh-CN"/>
        </w:rPr>
        <w:t>.支持农产品质量安全监管。</w:t>
      </w:r>
      <w:r>
        <w:rPr>
          <w:rFonts w:hint="default" w:ascii="Times New Roman" w:hAnsi="Times New Roman" w:eastAsia="仿宋_GB2312" w:cs="Times New Roman"/>
          <w:sz w:val="32"/>
          <w:szCs w:val="32"/>
          <w:highlight w:val="none"/>
        </w:rPr>
        <w:t>支持市级监管部门围绕农产品重点品种药残问题攻坚治理、直供学校种植养殖主体质量安全监管和地方特色品种精准治理等重点工作，按规定持续开展省级例行监测、监督抽查（取样）、专项风险评估和监管能力建设。支持涉农乡镇、规模收储主体开展“三前”环节农兽药残留速测筛查和日常监管，提高问题产品溯源能力，落实承诺达标合格证制度</w:t>
      </w:r>
      <w:r>
        <w:rPr>
          <w:rFonts w:hint="eastAsia" w:ascii="Times New Roman" w:hAnsi="Times New Roman" w:eastAsia="仿宋_GB2312" w:cs="Times New Roman"/>
          <w:sz w:val="32"/>
          <w:szCs w:val="32"/>
          <w:highlight w:val="none"/>
          <w:lang w:eastAsia="zh-CN"/>
        </w:rPr>
        <w:t>。</w:t>
      </w:r>
    </w:p>
    <w:p w14:paraId="135495D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eastAsia" w:ascii="Times New Roman" w:hAnsi="Times New Roman" w:eastAsia="楷体_GB2312" w:cs="Times New Roman"/>
          <w:b/>
          <w:bCs/>
          <w:sz w:val="32"/>
          <w:szCs w:val="32"/>
          <w:lang w:val="en-US" w:eastAsia="zh-CN"/>
        </w:rPr>
        <w:t>4</w:t>
      </w:r>
      <w:r>
        <w:rPr>
          <w:rFonts w:hint="default" w:ascii="Times New Roman" w:hAnsi="Times New Roman" w:eastAsia="楷体_GB2312" w:cs="Times New Roman"/>
          <w:b/>
          <w:bCs/>
          <w:sz w:val="32"/>
          <w:szCs w:val="32"/>
          <w:lang w:val="en-US" w:eastAsia="zh-CN"/>
        </w:rPr>
        <w:t>.支持农业综合执法及生产安全监管。</w:t>
      </w:r>
      <w:r>
        <w:rPr>
          <w:rFonts w:hint="default" w:ascii="Times New Roman" w:hAnsi="Times New Roman" w:eastAsia="仿宋_GB2312" w:cs="Times New Roman"/>
          <w:sz w:val="32"/>
          <w:szCs w:val="32"/>
        </w:rPr>
        <w:t>支持渔政执法机构根据工作需要配备更新必要的执法设施设备，加大执法检查力度，提升执法能力。支持依据职能范围开展农药安全监管、畜牧兽医重点领域安全生产监管和隐患排查、农村沼气设施安全处置和农村能源安全生产排查整治。支持对承担省调执法任务市县执法船进行补贴。</w:t>
      </w:r>
    </w:p>
    <w:p w14:paraId="29888BB2">
      <w:pPr>
        <w:keepNext w:val="0"/>
        <w:keepLines w:val="0"/>
        <w:pageBreakBefore w:val="0"/>
        <w:widowControl w:val="0"/>
        <w:kinsoku/>
        <w:wordWrap/>
        <w:overflowPunct/>
        <w:topLinePunct w:val="0"/>
        <w:autoSpaceDE/>
        <w:autoSpaceDN/>
        <w:bidi w:val="0"/>
        <w:adjustRightInd/>
        <w:snapToGrid/>
        <w:spacing w:line="560" w:lineRule="exact"/>
        <w:ind w:left="0" w:leftChars="0" w:firstLine="608" w:firstLineChars="200"/>
        <w:textAlignment w:val="auto"/>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pacing w:val="-8"/>
          <w:sz w:val="32"/>
          <w:szCs w:val="32"/>
          <w:lang w:eastAsia="zh-CN"/>
        </w:rPr>
        <w:t>（五）</w:t>
      </w:r>
      <w:r>
        <w:rPr>
          <w:rFonts w:hint="default" w:ascii="Times New Roman" w:hAnsi="Times New Roman" w:eastAsia="黑体" w:cs="Times New Roman"/>
          <w:color w:val="000000"/>
          <w:spacing w:val="-8"/>
          <w:sz w:val="32"/>
          <w:szCs w:val="32"/>
        </w:rPr>
        <w:t>支持富</w:t>
      </w:r>
      <w:r>
        <w:rPr>
          <w:rFonts w:hint="default" w:ascii="Times New Roman" w:hAnsi="Times New Roman" w:eastAsia="黑体" w:cs="Times New Roman"/>
          <w:color w:val="000000"/>
          <w:spacing w:val="-10"/>
          <w:sz w:val="32"/>
          <w:szCs w:val="32"/>
        </w:rPr>
        <w:t>民</w:t>
      </w:r>
      <w:r>
        <w:rPr>
          <w:rFonts w:hint="default" w:ascii="Times New Roman" w:hAnsi="Times New Roman" w:eastAsia="黑体" w:cs="Times New Roman"/>
          <w:color w:val="000000"/>
          <w:spacing w:val="-8"/>
          <w:sz w:val="32"/>
          <w:szCs w:val="32"/>
        </w:rPr>
        <w:t>产业发</w:t>
      </w:r>
      <w:r>
        <w:rPr>
          <w:rFonts w:hint="default" w:ascii="Times New Roman" w:hAnsi="Times New Roman" w:eastAsia="黑体" w:cs="Times New Roman"/>
          <w:color w:val="000000"/>
          <w:sz w:val="32"/>
          <w:szCs w:val="32"/>
        </w:rPr>
        <w:t>展</w:t>
      </w:r>
    </w:p>
    <w:p w14:paraId="6F68E55C">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支持新产业新业态新模式发展</w:t>
      </w:r>
      <w:r>
        <w:rPr>
          <w:rFonts w:hint="default" w:ascii="Times New Roman" w:hAnsi="Times New Roman" w:eastAsia="仿宋_GB2312" w:cs="Times New Roman"/>
          <w:sz w:val="32"/>
          <w:szCs w:val="32"/>
        </w:rPr>
        <w:t>。支持聚焦优势特色产业，鼓励引导县级及以上农业龙头企业开展农产品加工转型升级，重点支持引领型、带动型农业龙头企业在精耕深耕细分领域，突出以新质生产力为引领的健康食品、功能食品、冻干食品、未来食品、功能物提取等领域，发展高附加值、深层次、全方位利用的精深加工。推动绿色、有机、名特优新和地理标志等优质农产品发展，加强省级及以上品牌目录农产品区域公用品牌建设，深入实施“互联网+”农产品出村进城工程。支持开放型农业载体平台建设和开放型农业主体培育。</w:t>
      </w:r>
    </w:p>
    <w:p w14:paraId="7D7C352B">
      <w:pPr>
        <w:keepNext w:val="0"/>
        <w:keepLines w:val="0"/>
        <w:pageBreakBefore w:val="0"/>
        <w:widowControl w:val="0"/>
        <w:kinsoku/>
        <w:wordWrap/>
        <w:overflowPunct/>
        <w:topLinePunct w:val="0"/>
        <w:autoSpaceDE/>
        <w:autoSpaceDN/>
        <w:bidi w:val="0"/>
        <w:adjustRightInd/>
        <w:snapToGrid/>
        <w:spacing w:line="560" w:lineRule="exact"/>
        <w:ind w:left="420" w:hanging="420" w:hangingChars="200"/>
        <w:textAlignment w:val="auto"/>
        <w:rPr>
          <w:rFonts w:hint="default" w:ascii="Times New Roman" w:hAnsi="Times New Roman" w:eastAsia="黑体" w:cs="Times New Roman"/>
          <w:color w:val="000000"/>
          <w:sz w:val="32"/>
          <w:szCs w:val="32"/>
        </w:rPr>
      </w:pPr>
      <w:r>
        <w:rPr>
          <w:rFonts w:hint="default" w:ascii="Times New Roman" w:hAnsi="Times New Roman" w:cs="Times New Roman"/>
        </w:rPr>
        <w:tab/>
      </w:r>
      <w:r>
        <w:rPr>
          <w:rFonts w:hint="default" w:ascii="Times New Roman" w:hAnsi="Times New Roman" w:eastAsia="黑体" w:cs="Times New Roman"/>
          <w:sz w:val="32"/>
          <w:szCs w:val="32"/>
          <w:lang w:eastAsia="zh-CN"/>
        </w:rPr>
        <w:t>（六）</w:t>
      </w:r>
      <w:r>
        <w:rPr>
          <w:rFonts w:hint="default" w:ascii="Times New Roman" w:hAnsi="Times New Roman" w:eastAsia="黑体" w:cs="Times New Roman"/>
          <w:color w:val="000000"/>
          <w:spacing w:val="-8"/>
          <w:sz w:val="32"/>
          <w:szCs w:val="32"/>
        </w:rPr>
        <w:t>支持农</w:t>
      </w:r>
      <w:r>
        <w:rPr>
          <w:rFonts w:hint="default" w:ascii="Times New Roman" w:hAnsi="Times New Roman" w:eastAsia="黑体" w:cs="Times New Roman"/>
          <w:color w:val="000000"/>
          <w:spacing w:val="-10"/>
          <w:sz w:val="32"/>
          <w:szCs w:val="32"/>
        </w:rPr>
        <w:t>业</w:t>
      </w:r>
      <w:r>
        <w:rPr>
          <w:rFonts w:hint="default" w:ascii="Times New Roman" w:hAnsi="Times New Roman" w:eastAsia="黑体" w:cs="Times New Roman"/>
          <w:color w:val="000000"/>
          <w:spacing w:val="-8"/>
          <w:sz w:val="32"/>
          <w:szCs w:val="32"/>
        </w:rPr>
        <w:t>绿色发</w:t>
      </w:r>
      <w:r>
        <w:rPr>
          <w:rFonts w:hint="default" w:ascii="Times New Roman" w:hAnsi="Times New Roman" w:eastAsia="黑体" w:cs="Times New Roman"/>
          <w:color w:val="000000"/>
          <w:sz w:val="32"/>
          <w:szCs w:val="32"/>
        </w:rPr>
        <w:t>展</w:t>
      </w:r>
    </w:p>
    <w:p w14:paraId="6D848F6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1.</w:t>
      </w:r>
      <w:r>
        <w:rPr>
          <w:rFonts w:hint="default" w:ascii="Times New Roman" w:hAnsi="Times New Roman" w:eastAsia="楷体_GB2312" w:cs="Times New Roman"/>
          <w:b/>
          <w:bCs/>
          <w:sz w:val="32"/>
          <w:szCs w:val="32"/>
        </w:rPr>
        <w:t>支持农作物秸秆综合利用。</w:t>
      </w:r>
      <w:r>
        <w:rPr>
          <w:rFonts w:hint="default" w:ascii="Times New Roman" w:hAnsi="Times New Roman" w:eastAsia="仿宋_GB2312" w:cs="Times New Roman"/>
          <w:sz w:val="32"/>
          <w:szCs w:val="32"/>
        </w:rPr>
        <w:t>支持结合实际统筹实施秸秆机械化还田和离田收储利用，开展稻麦等秸秆机械化还田作业补助和离田收储按量（或按面积）补助，鼓励</w:t>
      </w:r>
      <w:r>
        <w:rPr>
          <w:rFonts w:hint="eastAsia" w:ascii="Times New Roman" w:hAnsi="Times New Roman" w:eastAsia="仿宋_GB2312" w:cs="Times New Roman"/>
          <w:sz w:val="32"/>
          <w:szCs w:val="32"/>
          <w:lang w:eastAsia="zh-CN"/>
        </w:rPr>
        <w:t>因地制宜</w:t>
      </w:r>
      <w:r>
        <w:rPr>
          <w:rFonts w:hint="default" w:ascii="Times New Roman" w:hAnsi="Times New Roman" w:eastAsia="仿宋_GB2312" w:cs="Times New Roman"/>
          <w:sz w:val="32"/>
          <w:szCs w:val="32"/>
        </w:rPr>
        <w:t>有序推进生态型犁耕深翻还田。具体按照《关于做好2025年省级农作物秸秆综合利用项目实施工作的通知》（苏农科〔2025〕5号）执行。</w:t>
      </w:r>
    </w:p>
    <w:p w14:paraId="18D666DE">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2.支持农药化肥双减。</w:t>
      </w:r>
      <w:r>
        <w:rPr>
          <w:rFonts w:hint="default" w:ascii="Times New Roman" w:hAnsi="Times New Roman" w:eastAsia="仿宋_GB2312" w:cs="Times New Roman"/>
          <w:sz w:val="32"/>
          <w:szCs w:val="32"/>
        </w:rPr>
        <w:t>支持</w:t>
      </w:r>
      <w:r>
        <w:rPr>
          <w:rFonts w:hint="eastAsia" w:ascii="Times New Roman" w:hAnsi="Times New Roman" w:eastAsia="仿宋_GB2312" w:cs="Times New Roman"/>
          <w:sz w:val="32"/>
          <w:szCs w:val="32"/>
          <w:lang w:eastAsia="zh-CN"/>
        </w:rPr>
        <w:t>因地制宜</w:t>
      </w:r>
      <w:r>
        <w:rPr>
          <w:rFonts w:hint="default" w:ascii="Times New Roman" w:hAnsi="Times New Roman" w:eastAsia="仿宋_GB2312" w:cs="Times New Roman"/>
          <w:sz w:val="32"/>
          <w:szCs w:val="32"/>
        </w:rPr>
        <w:t>开展化肥减量增效先行区、农药减量增效展示片建设，鼓励引导新型经营主体加强化肥减量增效新产品、新技术、新机具集成推广应用，提高肥料利用效率，集成应用农业防控、理化诱控、生物防控和科学用药技术等绿色防控技术和产品，推进化学农药减量增效。支持推进化肥农药实名制购买定额制使用，建设一批规范化经营门店，</w:t>
      </w:r>
      <w:r>
        <w:rPr>
          <w:rFonts w:hint="eastAsia" w:ascii="Times New Roman" w:hAnsi="Times New Roman" w:eastAsia="仿宋_GB2312" w:cs="Times New Roman"/>
          <w:sz w:val="32"/>
          <w:szCs w:val="32"/>
          <w:lang w:eastAsia="zh-CN"/>
        </w:rPr>
        <w:t>因地制宜</w:t>
      </w:r>
      <w:r>
        <w:rPr>
          <w:rFonts w:hint="default" w:ascii="Times New Roman" w:hAnsi="Times New Roman" w:eastAsia="仿宋_GB2312" w:cs="Times New Roman"/>
          <w:sz w:val="32"/>
          <w:szCs w:val="32"/>
        </w:rPr>
        <w:t>探索实名制购销模式、制订定额制使用标准，推广应用肥药减量技术模式。</w:t>
      </w:r>
    </w:p>
    <w:p w14:paraId="32E39B9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rPr>
      </w:pPr>
      <w:r>
        <w:rPr>
          <w:rFonts w:hint="default" w:ascii="Times New Roman" w:hAnsi="Times New Roman" w:eastAsia="楷体_GB2312" w:cs="Times New Roman"/>
          <w:b/>
          <w:bCs/>
          <w:sz w:val="32"/>
          <w:szCs w:val="32"/>
          <w:lang w:val="en-US" w:eastAsia="zh-CN"/>
        </w:rPr>
        <w:t>3.支持农业废弃物处置利用。</w:t>
      </w:r>
      <w:r>
        <w:rPr>
          <w:rFonts w:hint="default" w:ascii="Times New Roman" w:hAnsi="Times New Roman" w:eastAsia="仿宋_GB2312" w:cs="Times New Roman"/>
          <w:sz w:val="32"/>
          <w:szCs w:val="32"/>
        </w:rPr>
        <w:t>支持建立完善政府支持、农药生产经营使用者参与、专业机构协同的农药和肥料包装废弃物回收处理机制，完善回收处理体系，加强废弃物回收、储存、转运、处置再利用，促进农业绿色可持续发展。支持推动种植主体应用加厚高强度地膜和全生物降解地膜，推广应用地膜减量替代技术，推进废旧地膜回收和无害化处置，开展地膜残留监测，提升地膜科学使用回收水平。</w:t>
      </w:r>
    </w:p>
    <w:p w14:paraId="6DBDA11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楷体_GB2312" w:cs="Times New Roman"/>
          <w:b/>
          <w:bCs/>
          <w:sz w:val="32"/>
          <w:szCs w:val="32"/>
          <w:highlight w:val="none"/>
          <w:lang w:val="en-US" w:eastAsia="zh-CN"/>
        </w:rPr>
        <w:t>4.支持绿色发展监测能力建设。</w:t>
      </w:r>
      <w:r>
        <w:rPr>
          <w:rFonts w:hint="default" w:ascii="Times New Roman" w:hAnsi="Times New Roman" w:eastAsia="仿宋_GB2312" w:cs="Times New Roman"/>
          <w:sz w:val="32"/>
          <w:szCs w:val="32"/>
          <w:highlight w:val="none"/>
        </w:rPr>
        <w:t>支持围绕种植业绿色发展情况、池塘养殖尾水、畜禽粪污资源化利用等内容布设具有代表性的固定监测点，持续开展监测评估，定期采集监测数据，逐步构建太湖地区农业绿色发展监测体系。支持加强耕地质量监测，开展耕地质量等级调查</w:t>
      </w:r>
      <w:r>
        <w:rPr>
          <w:rFonts w:hint="default" w:ascii="Times New Roman" w:hAnsi="Times New Roman" w:eastAsia="仿宋_GB2312" w:cs="Times New Roman"/>
          <w:strike w:val="0"/>
          <w:sz w:val="32"/>
          <w:szCs w:val="32"/>
          <w:highlight w:val="none"/>
        </w:rPr>
        <w:t>评价、</w:t>
      </w:r>
      <w:r>
        <w:rPr>
          <w:rFonts w:hint="default" w:ascii="Times New Roman" w:hAnsi="Times New Roman" w:eastAsia="仿宋_GB2312" w:cs="Times New Roman"/>
          <w:strike w:val="0"/>
          <w:dstrike w:val="0"/>
          <w:sz w:val="32"/>
          <w:szCs w:val="32"/>
          <w:highlight w:val="none"/>
        </w:rPr>
        <w:t>农产品产地环境例行监测</w:t>
      </w:r>
      <w:r>
        <w:rPr>
          <w:rFonts w:hint="default" w:ascii="Times New Roman" w:hAnsi="Times New Roman" w:eastAsia="仿宋_GB2312" w:cs="Times New Roman"/>
          <w:strike w:val="0"/>
          <w:sz w:val="32"/>
          <w:szCs w:val="32"/>
          <w:highlight w:val="none"/>
        </w:rPr>
        <w:t>等</w:t>
      </w:r>
      <w:r>
        <w:rPr>
          <w:rFonts w:hint="default" w:ascii="Times New Roman" w:hAnsi="Times New Roman" w:eastAsia="仿宋_GB2312" w:cs="Times New Roman"/>
          <w:sz w:val="32"/>
          <w:szCs w:val="32"/>
          <w:highlight w:val="none"/>
        </w:rPr>
        <w:t>工作。</w:t>
      </w:r>
    </w:p>
    <w:p w14:paraId="17C00932">
      <w:pPr>
        <w:keepNext w:val="0"/>
        <w:keepLines w:val="0"/>
        <w:pageBreakBefore w:val="0"/>
        <w:widowControl w:val="0"/>
        <w:tabs>
          <w:tab w:val="left" w:pos="7513"/>
          <w:tab w:val="left" w:pos="7655"/>
        </w:tabs>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w:t>
      </w:r>
      <w:r>
        <w:rPr>
          <w:rFonts w:hint="eastAsia" w:ascii="黑体" w:hAnsi="黑体" w:eastAsia="黑体" w:cs="黑体"/>
          <w:sz w:val="32"/>
          <w:szCs w:val="32"/>
        </w:rPr>
        <w:t>、</w:t>
      </w:r>
      <w:r>
        <w:rPr>
          <w:rFonts w:hint="eastAsia" w:ascii="黑体" w:hAnsi="黑体" w:eastAsia="黑体" w:cs="黑体"/>
          <w:sz w:val="32"/>
          <w:szCs w:val="32"/>
          <w:lang w:eastAsia="zh-CN"/>
        </w:rPr>
        <w:t>项目确定与批复</w:t>
      </w:r>
    </w:p>
    <w:p w14:paraId="7FE7FA24">
      <w:pPr>
        <w:keepNext w:val="0"/>
        <w:keepLines w:val="0"/>
        <w:pageBreakBefore w:val="0"/>
        <w:widowControl w:val="0"/>
        <w:tabs>
          <w:tab w:val="left" w:pos="7513"/>
          <w:tab w:val="left" w:pos="7655"/>
        </w:tabs>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本申报指南主要针对局属业务科</w:t>
      </w:r>
      <w:r>
        <w:rPr>
          <w:rFonts w:hint="eastAsia" w:ascii="Times New Roman" w:hAnsi="Times New Roman" w:eastAsia="仿宋_GB2312" w:cs="Times New Roman"/>
          <w:sz w:val="32"/>
          <w:szCs w:val="32"/>
          <w:highlight w:val="none"/>
          <w:lang w:eastAsia="zh-CN"/>
        </w:rPr>
        <w:t>站</w:t>
      </w:r>
      <w:r>
        <w:rPr>
          <w:rFonts w:hint="eastAsia" w:ascii="Times New Roman" w:hAnsi="Times New Roman" w:eastAsia="仿宋_GB2312" w:cs="Times New Roman"/>
          <w:sz w:val="32"/>
          <w:szCs w:val="32"/>
          <w:highlight w:val="none"/>
          <w:lang w:val="en-US" w:eastAsia="zh-CN"/>
        </w:rPr>
        <w:t>和有关单位</w:t>
      </w:r>
      <w:r>
        <w:rPr>
          <w:rFonts w:hint="eastAsia" w:ascii="Times New Roman" w:hAnsi="Times New Roman" w:eastAsia="仿宋_GB2312" w:cs="Times New Roman"/>
          <w:sz w:val="32"/>
          <w:szCs w:val="32"/>
          <w:highlight w:val="none"/>
          <w:lang w:eastAsia="zh-CN"/>
        </w:rPr>
        <w:t>承担的省定任务类项目，</w:t>
      </w:r>
      <w:r>
        <w:rPr>
          <w:rFonts w:hint="eastAsia" w:ascii="Times New Roman" w:hAnsi="Times New Roman" w:eastAsia="仿宋_GB2312" w:cs="Times New Roman"/>
          <w:sz w:val="32"/>
          <w:szCs w:val="32"/>
          <w:highlight w:val="none"/>
          <w:lang w:val="en-US" w:eastAsia="zh-CN"/>
        </w:rPr>
        <w:t>省下达相关专项资金后，</w:t>
      </w:r>
      <w:r>
        <w:rPr>
          <w:rFonts w:hint="eastAsia" w:ascii="Times New Roman" w:hAnsi="Times New Roman" w:eastAsia="仿宋_GB2312" w:cs="Times New Roman"/>
          <w:sz w:val="32"/>
          <w:szCs w:val="32"/>
          <w:highlight w:val="none"/>
          <w:lang w:eastAsia="zh-CN"/>
        </w:rPr>
        <w:t>市农业项目管理领导小组办公室牵头组织业务科站及有关单位进行专项资金分配，由市农业农村局、财政局会商，经集体讨</w:t>
      </w:r>
      <w:r>
        <w:rPr>
          <w:rFonts w:hint="eastAsia" w:ascii="Times New Roman" w:hAnsi="Times New Roman" w:eastAsia="仿宋_GB2312" w:cs="Times New Roman"/>
          <w:sz w:val="32"/>
          <w:szCs w:val="32"/>
          <w:lang w:eastAsia="zh-CN"/>
        </w:rPr>
        <w:t>论确定资金分配方案与拟安排项目，公示后予以批复下达。</w:t>
      </w:r>
    </w:p>
    <w:p w14:paraId="5C892EA6">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5A42A383">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7423C85A">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56019188">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05D35D0E">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4948A190">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3A8E656B">
      <w:pPr>
        <w:keepNext w:val="0"/>
        <w:keepLines w:val="0"/>
        <w:pageBreakBefore w:val="0"/>
        <w:widowControl w:val="0"/>
        <w:tabs>
          <w:tab w:val="left" w:pos="7513"/>
          <w:tab w:val="left" w:pos="7655"/>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 w:val="0"/>
          <w:bCs w:val="0"/>
          <w:sz w:val="32"/>
          <w:szCs w:val="32"/>
          <w:lang w:eastAsia="zh-CN"/>
        </w:rPr>
      </w:pPr>
    </w:p>
    <w:p w14:paraId="1EACEF87">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default" w:ascii="仿宋_GB2312" w:hAnsi="仿宋_GB2312" w:eastAsia="仿宋_GB2312" w:cs="仿宋_GB2312"/>
          <w:sz w:val="32"/>
          <w:szCs w:val="32"/>
          <w:highlight w:val="none"/>
          <w:lang w:val="en-US" w:eastAsia="zh-CN"/>
        </w:rPr>
      </w:pPr>
      <w:bookmarkStart w:id="0" w:name="OLE_LINK3"/>
      <w:r>
        <w:rPr>
          <w:rFonts w:hint="eastAsia" w:ascii="仿宋_GB2312" w:hAnsi="仿宋_GB2312" w:eastAsia="仿宋_GB2312" w:cs="仿宋_GB2312"/>
          <w:sz w:val="32"/>
          <w:szCs w:val="32"/>
          <w:highlight w:val="none"/>
          <w:lang w:eastAsia="zh-CN"/>
        </w:rPr>
        <w:t>附件</w:t>
      </w:r>
      <w:r>
        <w:rPr>
          <w:rFonts w:hint="default" w:ascii="Times New Roman" w:hAnsi="Times New Roman" w:eastAsia="仿宋_GB2312" w:cs="Times New Roman"/>
          <w:sz w:val="32"/>
          <w:szCs w:val="32"/>
          <w:highlight w:val="none"/>
          <w:lang w:val="en-US" w:eastAsia="zh-CN"/>
        </w:rPr>
        <w:t>2</w:t>
      </w:r>
      <w:r>
        <w:rPr>
          <w:rFonts w:hint="eastAsia" w:ascii="Times New Roman" w:hAnsi="Times New Roman" w:eastAsia="仿宋_GB2312" w:cs="Times New Roman"/>
          <w:sz w:val="32"/>
          <w:szCs w:val="32"/>
          <w:highlight w:val="none"/>
          <w:lang w:val="en-US" w:eastAsia="zh-CN"/>
        </w:rPr>
        <w:t>：</w:t>
      </w:r>
    </w:p>
    <w:p w14:paraId="6B66985F">
      <w:pPr>
        <w:pStyle w:val="6"/>
        <w:rPr>
          <w:rFonts w:hint="eastAsia"/>
          <w:lang w:val="en-US" w:eastAsia="zh-CN"/>
        </w:rPr>
      </w:pPr>
    </w:p>
    <w:bookmarkEnd w:id="0"/>
    <w:p w14:paraId="007031D9">
      <w:pPr>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rPr>
        <w:t>202</w:t>
      </w:r>
      <w:r>
        <w:rPr>
          <w:rFonts w:hint="eastAsia" w:ascii="方正小标宋简体" w:hAnsi="方正小标宋简体" w:eastAsia="方正小标宋简体" w:cs="方正小标宋简体"/>
          <w:b w:val="0"/>
          <w:bCs/>
          <w:color w:val="000000"/>
          <w:sz w:val="44"/>
          <w:szCs w:val="44"/>
          <w:lang w:val="en-US" w:eastAsia="zh-CN"/>
        </w:rPr>
        <w:t>5</w:t>
      </w:r>
      <w:r>
        <w:rPr>
          <w:rFonts w:hint="eastAsia" w:ascii="方正小标宋简体" w:hAnsi="方正小标宋简体" w:eastAsia="方正小标宋简体" w:cs="方正小标宋简体"/>
          <w:b w:val="0"/>
          <w:bCs/>
          <w:color w:val="000000"/>
          <w:sz w:val="44"/>
          <w:szCs w:val="44"/>
        </w:rPr>
        <w:t>年省对市县农业相关专项转移支付</w:t>
      </w:r>
    </w:p>
    <w:p w14:paraId="65326BFA">
      <w:pPr>
        <w:spacing w:line="560" w:lineRule="exact"/>
        <w:jc w:val="center"/>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rPr>
        <w:t>项目实施方案（参考格式）</w:t>
      </w:r>
    </w:p>
    <w:p w14:paraId="75B51EA9">
      <w:pPr>
        <w:spacing w:line="560" w:lineRule="exact"/>
        <w:rPr>
          <w:rFonts w:ascii="Times New Roman" w:hAnsi="Times New Roman"/>
          <w:color w:val="000000"/>
          <w:sz w:val="44"/>
          <w:szCs w:val="44"/>
        </w:rPr>
      </w:pPr>
    </w:p>
    <w:p w14:paraId="21B7F455">
      <w:pPr>
        <w:spacing w:line="560" w:lineRule="exact"/>
        <w:ind w:firstLine="640" w:firstLineChars="200"/>
        <w:rPr>
          <w:rFonts w:ascii="Times New Roman" w:hAnsi="Times New Roman"/>
          <w:color w:val="000000"/>
          <w:sz w:val="32"/>
          <w:szCs w:val="32"/>
        </w:rPr>
      </w:pPr>
      <w:r>
        <w:rPr>
          <w:rFonts w:hint="eastAsia" w:ascii="Times New Roman" w:hAnsi="Times New Roman"/>
          <w:color w:val="000000"/>
          <w:sz w:val="32"/>
          <w:szCs w:val="32"/>
        </w:rPr>
        <w:t>专项名称</w:t>
      </w:r>
      <w:r>
        <w:rPr>
          <w:rFonts w:ascii="Times New Roman" w:hAnsi="Times New Roman"/>
          <w:color w:val="000000"/>
          <w:sz w:val="32"/>
          <w:szCs w:val="32"/>
        </w:rPr>
        <w:t>：</w:t>
      </w:r>
    </w:p>
    <w:p w14:paraId="6682484F">
      <w:pPr>
        <w:spacing w:line="560" w:lineRule="exact"/>
        <w:rPr>
          <w:rFonts w:ascii="Times New Roman" w:hAnsi="Times New Roman"/>
          <w:color w:val="000000"/>
          <w:sz w:val="32"/>
          <w:szCs w:val="32"/>
        </w:rPr>
      </w:pPr>
    </w:p>
    <w:p w14:paraId="7FA3FBD5">
      <w:pPr>
        <w:spacing w:line="560" w:lineRule="exact"/>
        <w:ind w:firstLine="640" w:firstLineChars="200"/>
        <w:rPr>
          <w:rFonts w:hint="eastAsia" w:ascii="Times New Roman" w:hAnsi="Times New Roman" w:eastAsia="宋体"/>
          <w:color w:val="000000"/>
          <w:sz w:val="32"/>
          <w:szCs w:val="32"/>
          <w:lang w:val="en-US" w:eastAsia="zh-CN"/>
        </w:rPr>
      </w:pPr>
      <w:r>
        <w:rPr>
          <w:rFonts w:hint="eastAsia" w:ascii="Times New Roman" w:hAnsi="Times New Roman"/>
          <w:color w:val="000000"/>
          <w:sz w:val="32"/>
          <w:szCs w:val="32"/>
          <w:lang w:eastAsia="zh-CN"/>
        </w:rPr>
        <w:t>工作任务</w:t>
      </w:r>
      <w:r>
        <w:rPr>
          <w:rFonts w:hint="eastAsia" w:ascii="Times New Roman" w:hAnsi="Times New Roman"/>
          <w:color w:val="000000"/>
          <w:sz w:val="32"/>
          <w:szCs w:val="32"/>
        </w:rPr>
        <w:t>名称</w:t>
      </w:r>
      <w:r>
        <w:rPr>
          <w:rFonts w:ascii="Times New Roman" w:hAnsi="Times New Roman"/>
          <w:color w:val="000000"/>
          <w:sz w:val="32"/>
          <w:szCs w:val="32"/>
        </w:rPr>
        <w:t>：</w:t>
      </w:r>
    </w:p>
    <w:p w14:paraId="5F7956AA">
      <w:pPr>
        <w:spacing w:line="560" w:lineRule="exact"/>
        <w:rPr>
          <w:rFonts w:ascii="Times New Roman" w:hAnsi="Times New Roman"/>
          <w:color w:val="000000"/>
          <w:sz w:val="32"/>
          <w:szCs w:val="32"/>
        </w:rPr>
      </w:pPr>
    </w:p>
    <w:p w14:paraId="4FF54570">
      <w:pPr>
        <w:spacing w:line="560" w:lineRule="exact"/>
        <w:ind w:firstLine="640" w:firstLineChars="200"/>
        <w:rPr>
          <w:rFonts w:ascii="Times New Roman" w:hAnsi="Times New Roman"/>
          <w:color w:val="000000"/>
          <w:sz w:val="32"/>
          <w:szCs w:val="32"/>
        </w:rPr>
      </w:pPr>
      <w:r>
        <w:rPr>
          <w:rFonts w:ascii="Times New Roman" w:hAnsi="Times New Roman"/>
          <w:color w:val="000000"/>
          <w:sz w:val="32"/>
          <w:szCs w:val="32"/>
        </w:rPr>
        <w:t>实施项目名称：</w:t>
      </w:r>
    </w:p>
    <w:p w14:paraId="0FD57F85">
      <w:pPr>
        <w:spacing w:line="560" w:lineRule="exact"/>
        <w:ind w:firstLine="640" w:firstLineChars="200"/>
        <w:rPr>
          <w:rFonts w:ascii="Times New Roman" w:hAnsi="Times New Roman"/>
          <w:color w:val="000000"/>
          <w:sz w:val="32"/>
          <w:szCs w:val="32"/>
        </w:rPr>
      </w:pPr>
    </w:p>
    <w:p w14:paraId="42566869">
      <w:pPr>
        <w:spacing w:line="560" w:lineRule="exact"/>
        <w:ind w:firstLine="640" w:firstLineChars="200"/>
        <w:rPr>
          <w:rFonts w:hint="eastAsia" w:ascii="Times New Roman" w:hAnsi="Times New Roman"/>
          <w:color w:val="000000"/>
          <w:sz w:val="32"/>
          <w:szCs w:val="32"/>
          <w:lang w:eastAsia="zh-CN"/>
        </w:rPr>
      </w:pPr>
      <w:r>
        <w:rPr>
          <w:rFonts w:hint="eastAsia" w:ascii="Times New Roman" w:hAnsi="Times New Roman"/>
          <w:color w:val="000000"/>
          <w:sz w:val="32"/>
          <w:szCs w:val="32"/>
          <w:lang w:eastAsia="zh-CN"/>
        </w:rPr>
        <w:t>实施项目编号：</w:t>
      </w:r>
    </w:p>
    <w:p w14:paraId="7FDD240C">
      <w:pPr>
        <w:pStyle w:val="6"/>
        <w:rPr>
          <w:rFonts w:hint="eastAsia"/>
          <w:lang w:eastAsia="zh-CN"/>
        </w:rPr>
      </w:pPr>
    </w:p>
    <w:p w14:paraId="5AA7CDC8">
      <w:pPr>
        <w:spacing w:line="560" w:lineRule="exact"/>
        <w:ind w:firstLine="640" w:firstLineChars="200"/>
        <w:rPr>
          <w:rFonts w:ascii="Times New Roman" w:hAnsi="Times New Roman"/>
          <w:color w:val="000000"/>
          <w:sz w:val="32"/>
          <w:szCs w:val="32"/>
        </w:rPr>
      </w:pPr>
      <w:r>
        <w:rPr>
          <w:rFonts w:ascii="Times New Roman" w:hAnsi="Times New Roman"/>
          <w:color w:val="000000"/>
          <w:sz w:val="32"/>
          <w:szCs w:val="32"/>
        </w:rPr>
        <w:t>实施单位</w:t>
      </w:r>
      <w:r>
        <w:rPr>
          <w:rFonts w:hint="eastAsia" w:ascii="Times New Roman" w:hAnsi="Times New Roman"/>
          <w:color w:val="000000"/>
          <w:sz w:val="32"/>
          <w:szCs w:val="32"/>
          <w:lang w:eastAsia="zh-CN"/>
        </w:rPr>
        <w:t>名称</w:t>
      </w:r>
      <w:r>
        <w:rPr>
          <w:rFonts w:ascii="Times New Roman" w:hAnsi="Times New Roman"/>
          <w:color w:val="000000"/>
          <w:sz w:val="32"/>
          <w:szCs w:val="32"/>
        </w:rPr>
        <w:t>（盖章）：</w:t>
      </w:r>
    </w:p>
    <w:p w14:paraId="473ACA08">
      <w:pPr>
        <w:spacing w:line="560" w:lineRule="exact"/>
        <w:ind w:firstLine="640" w:firstLineChars="200"/>
        <w:rPr>
          <w:rFonts w:ascii="Times New Roman" w:hAnsi="Times New Roman"/>
          <w:color w:val="000000"/>
          <w:sz w:val="32"/>
          <w:szCs w:val="32"/>
        </w:rPr>
      </w:pPr>
    </w:p>
    <w:p w14:paraId="40A8F95B">
      <w:pPr>
        <w:spacing w:line="560" w:lineRule="exact"/>
        <w:ind w:firstLine="640" w:firstLineChars="200"/>
        <w:rPr>
          <w:rFonts w:ascii="Times New Roman" w:hAnsi="Times New Roman"/>
          <w:color w:val="000000"/>
          <w:sz w:val="32"/>
          <w:szCs w:val="32"/>
        </w:rPr>
      </w:pPr>
    </w:p>
    <w:p w14:paraId="2B74BFEC">
      <w:pPr>
        <w:spacing w:line="560" w:lineRule="exact"/>
        <w:ind w:firstLine="640" w:firstLineChars="200"/>
        <w:rPr>
          <w:rFonts w:hint="default" w:ascii="Times New Roman" w:hAnsi="Times New Roman" w:eastAsia="宋体" w:cs="Times New Roman"/>
          <w:color w:val="000000"/>
          <w:sz w:val="32"/>
          <w:szCs w:val="32"/>
          <w:lang w:val="en-US" w:eastAsia="zh-CN"/>
        </w:rPr>
      </w:pPr>
      <w:r>
        <w:rPr>
          <w:rFonts w:hint="default" w:ascii="Times New Roman" w:hAnsi="Times New Roman" w:eastAsia="宋体" w:cs="Times New Roman"/>
          <w:color w:val="000000"/>
          <w:sz w:val="32"/>
          <w:szCs w:val="32"/>
        </w:rPr>
        <w:t>主管部门：</w:t>
      </w:r>
      <w:r>
        <w:rPr>
          <w:rFonts w:hint="default" w:ascii="Times New Roman" w:hAnsi="Times New Roman" w:eastAsia="宋体" w:cs="Times New Roman"/>
          <w:color w:val="000000"/>
          <w:sz w:val="32"/>
          <w:szCs w:val="32"/>
          <w:lang w:eastAsia="zh-CN"/>
        </w:rPr>
        <w:t>张家港市农业农村局</w:t>
      </w:r>
      <w:r>
        <w:rPr>
          <w:rFonts w:hint="default" w:ascii="Times New Roman" w:hAnsi="Times New Roman" w:eastAsia="宋体" w:cs="Times New Roman"/>
          <w:color w:val="000000"/>
          <w:sz w:val="32"/>
          <w:szCs w:val="32"/>
          <w:lang w:val="en-US" w:eastAsia="zh-CN"/>
        </w:rPr>
        <w:t xml:space="preserve"> </w:t>
      </w:r>
      <w:r>
        <w:rPr>
          <w:rFonts w:hint="eastAsia" w:ascii="Times New Roman" w:hAnsi="Times New Roman" w:eastAsia="宋体" w:cs="Times New Roman"/>
          <w:color w:val="000000"/>
          <w:sz w:val="32"/>
          <w:szCs w:val="32"/>
          <w:lang w:val="en-US" w:eastAsia="zh-CN"/>
        </w:rPr>
        <w:t xml:space="preserve"> </w:t>
      </w:r>
      <w:r>
        <w:rPr>
          <w:rFonts w:hint="default" w:ascii="Times New Roman" w:hAnsi="Times New Roman" w:eastAsia="宋体" w:cs="Times New Roman"/>
          <w:color w:val="000000"/>
          <w:sz w:val="32"/>
          <w:szCs w:val="32"/>
          <w:lang w:val="en-US" w:eastAsia="zh-CN"/>
        </w:rPr>
        <w:t xml:space="preserve">  张家港市财政局</w:t>
      </w:r>
    </w:p>
    <w:p w14:paraId="3309C715">
      <w:pPr>
        <w:spacing w:line="560" w:lineRule="exact"/>
        <w:ind w:firstLine="3200" w:firstLineChars="1000"/>
        <w:rPr>
          <w:rFonts w:hint="default" w:ascii="Times New Roman" w:hAnsi="Times New Roman" w:eastAsia="宋体" w:cs="Times New Roman"/>
          <w:color w:val="000000"/>
          <w:sz w:val="32"/>
          <w:szCs w:val="32"/>
        </w:rPr>
      </w:pPr>
      <w:r>
        <w:rPr>
          <w:rFonts w:hint="default" w:ascii="Times New Roman" w:hAnsi="Times New Roman" w:eastAsia="宋体" w:cs="Times New Roman"/>
          <w:color w:val="000000"/>
          <w:sz w:val="32"/>
          <w:szCs w:val="32"/>
        </w:rPr>
        <w:t xml:space="preserve">（盖章）   </w:t>
      </w:r>
      <w:r>
        <w:rPr>
          <w:rFonts w:hint="default" w:ascii="Times New Roman" w:hAnsi="Times New Roman" w:eastAsia="宋体" w:cs="Times New Roman"/>
          <w:color w:val="000000"/>
          <w:sz w:val="32"/>
          <w:szCs w:val="32"/>
          <w:lang w:val="en-US" w:eastAsia="zh-CN"/>
        </w:rPr>
        <w:t xml:space="preserve">        </w:t>
      </w:r>
      <w:r>
        <w:rPr>
          <w:rFonts w:hint="default" w:ascii="Times New Roman" w:hAnsi="Times New Roman" w:eastAsia="宋体" w:cs="Times New Roman"/>
          <w:color w:val="000000"/>
          <w:sz w:val="32"/>
          <w:szCs w:val="32"/>
        </w:rPr>
        <w:t>（盖章）</w:t>
      </w:r>
    </w:p>
    <w:p w14:paraId="6937CEE8">
      <w:pPr>
        <w:spacing w:line="560" w:lineRule="exact"/>
        <w:ind w:firstLine="640" w:firstLineChars="200"/>
        <w:rPr>
          <w:rFonts w:ascii="Times New Roman" w:hAnsi="Times New Roman"/>
          <w:color w:val="000000"/>
          <w:sz w:val="32"/>
          <w:szCs w:val="32"/>
        </w:rPr>
      </w:pPr>
    </w:p>
    <w:p w14:paraId="5A778BC1">
      <w:pPr>
        <w:spacing w:line="560" w:lineRule="exact"/>
        <w:ind w:firstLine="640" w:firstLineChars="200"/>
        <w:jc w:val="both"/>
        <w:rPr>
          <w:rFonts w:ascii="Times New Roman" w:hAnsi="Times New Roman"/>
          <w:color w:val="000000"/>
          <w:sz w:val="32"/>
          <w:szCs w:val="32"/>
        </w:rPr>
      </w:pPr>
      <w:r>
        <w:rPr>
          <w:rFonts w:ascii="Times New Roman" w:hAnsi="Times New Roman"/>
          <w:color w:val="000000"/>
          <w:sz w:val="32"/>
          <w:szCs w:val="32"/>
        </w:rPr>
        <w:t>填报时间：</w:t>
      </w:r>
      <w:r>
        <w:rPr>
          <w:rFonts w:hint="eastAsia" w:ascii="Times New Roman" w:hAnsi="Times New Roman"/>
          <w:color w:val="000000"/>
          <w:sz w:val="32"/>
          <w:szCs w:val="32"/>
          <w:lang w:val="en-US" w:eastAsia="zh-CN"/>
        </w:rPr>
        <w:t xml:space="preserve">    </w:t>
      </w:r>
      <w:r>
        <w:rPr>
          <w:rFonts w:ascii="Times New Roman" w:hAnsi="Times New Roman"/>
          <w:color w:val="000000"/>
          <w:sz w:val="32"/>
          <w:szCs w:val="32"/>
        </w:rPr>
        <w:t>年</w:t>
      </w:r>
      <w:r>
        <w:rPr>
          <w:rFonts w:hint="eastAsia" w:ascii="Times New Roman" w:hAnsi="Times New Roman"/>
          <w:color w:val="000000"/>
          <w:sz w:val="32"/>
          <w:szCs w:val="32"/>
          <w:lang w:val="en-US" w:eastAsia="zh-CN"/>
        </w:rPr>
        <w:t xml:space="preserve">    </w:t>
      </w:r>
      <w:r>
        <w:rPr>
          <w:rFonts w:ascii="Times New Roman" w:hAnsi="Times New Roman"/>
          <w:color w:val="000000"/>
          <w:sz w:val="32"/>
          <w:szCs w:val="32"/>
        </w:rPr>
        <w:t xml:space="preserve">月 </w:t>
      </w:r>
      <w:r>
        <w:rPr>
          <w:rFonts w:hint="eastAsia" w:ascii="Times New Roman" w:hAnsi="Times New Roman"/>
          <w:color w:val="000000"/>
          <w:sz w:val="32"/>
          <w:szCs w:val="32"/>
          <w:lang w:val="en-US" w:eastAsia="zh-CN"/>
        </w:rPr>
        <w:t xml:space="preserve">  </w:t>
      </w:r>
      <w:r>
        <w:rPr>
          <w:rFonts w:ascii="Times New Roman" w:hAnsi="Times New Roman"/>
          <w:color w:val="000000"/>
          <w:sz w:val="32"/>
          <w:szCs w:val="32"/>
        </w:rPr>
        <w:t xml:space="preserve"> 日</w:t>
      </w:r>
    </w:p>
    <w:p w14:paraId="45F91BB4">
      <w:pPr>
        <w:spacing w:line="560" w:lineRule="exact"/>
        <w:ind w:firstLine="640" w:firstLineChars="200"/>
        <w:rPr>
          <w:rFonts w:ascii="Times New Roman" w:hAnsi="Times New Roman"/>
          <w:color w:val="000000"/>
          <w:sz w:val="32"/>
          <w:szCs w:val="32"/>
        </w:rPr>
      </w:pPr>
    </w:p>
    <w:p w14:paraId="748EC503">
      <w:pPr>
        <w:numPr>
          <w:ilvl w:val="0"/>
          <w:numId w:val="0"/>
        </w:numPr>
        <w:spacing w:line="560" w:lineRule="exact"/>
        <w:ind w:firstLine="0" w:firstLineChars="0"/>
        <w:jc w:val="center"/>
        <w:rPr>
          <w:rFonts w:ascii="Times New Roman" w:hAnsi="Times New Roman" w:eastAsia="黑体"/>
          <w:color w:val="000000"/>
          <w:sz w:val="32"/>
          <w:szCs w:val="32"/>
        </w:rPr>
      </w:pPr>
      <w:r>
        <w:rPr>
          <w:rFonts w:ascii="Times New Roman" w:hAnsi="Times New Roman" w:eastAsia="楷体"/>
          <w:color w:val="000000"/>
          <w:sz w:val="36"/>
          <w:szCs w:val="36"/>
        </w:rPr>
        <w:t>江苏省</w:t>
      </w:r>
      <w:r>
        <w:rPr>
          <w:rFonts w:hint="eastAsia" w:ascii="Times New Roman" w:hAnsi="Times New Roman" w:eastAsia="楷体"/>
          <w:color w:val="000000"/>
          <w:sz w:val="36"/>
          <w:szCs w:val="36"/>
          <w:lang w:eastAsia="zh-CN"/>
        </w:rPr>
        <w:t>农业农村厅</w:t>
      </w:r>
      <w:r>
        <w:rPr>
          <w:rFonts w:ascii="Times New Roman" w:hAnsi="Times New Roman" w:eastAsia="楷体"/>
          <w:color w:val="000000"/>
          <w:sz w:val="36"/>
          <w:szCs w:val="36"/>
        </w:rPr>
        <w:t>制</w:t>
      </w:r>
    </w:p>
    <w:p w14:paraId="4BFBC466">
      <w:pPr>
        <w:spacing w:line="560" w:lineRule="exact"/>
        <w:ind w:firstLine="640" w:firstLineChars="200"/>
        <w:rPr>
          <w:rFonts w:ascii="Times New Roman" w:hAnsi="Times New Roman" w:eastAsia="黑体"/>
          <w:color w:val="000000"/>
          <w:sz w:val="32"/>
          <w:szCs w:val="32"/>
        </w:rPr>
      </w:pPr>
      <w:r>
        <w:rPr>
          <w:rFonts w:ascii="Times New Roman" w:hAnsi="Times New Roman" w:eastAsia="黑体"/>
          <w:color w:val="000000"/>
          <w:sz w:val="32"/>
          <w:szCs w:val="32"/>
        </w:rPr>
        <w:t>一、实施范围</w:t>
      </w:r>
    </w:p>
    <w:p w14:paraId="46826D4B">
      <w:pPr>
        <w:spacing w:line="56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明确项目实施的区域范围或地点，地点要细化到县、乡、村。</w:t>
      </w:r>
    </w:p>
    <w:p w14:paraId="56008F8F">
      <w:pPr>
        <w:spacing w:line="560" w:lineRule="exact"/>
        <w:ind w:firstLine="640" w:firstLineChars="200"/>
        <w:rPr>
          <w:rFonts w:ascii="Times New Roman" w:hAnsi="Times New Roman" w:eastAsia="黑体"/>
          <w:color w:val="000000"/>
          <w:sz w:val="32"/>
          <w:szCs w:val="32"/>
        </w:rPr>
      </w:pPr>
      <w:r>
        <w:rPr>
          <w:rFonts w:ascii="Times New Roman" w:hAnsi="Times New Roman" w:eastAsia="黑体"/>
          <w:color w:val="000000"/>
          <w:sz w:val="32"/>
          <w:szCs w:val="32"/>
        </w:rPr>
        <w:t>二、实施内容</w:t>
      </w:r>
    </w:p>
    <w:p w14:paraId="6B23DFFB">
      <w:pPr>
        <w:spacing w:line="56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分项描述项目主要实施内容。</w:t>
      </w:r>
    </w:p>
    <w:p w14:paraId="6F5EC580">
      <w:pPr>
        <w:spacing w:line="56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（一）</w:t>
      </w:r>
    </w:p>
    <w:p w14:paraId="75F5C1AF">
      <w:pPr>
        <w:spacing w:line="560" w:lineRule="exact"/>
        <w:ind w:firstLine="640"/>
        <w:rPr>
          <w:rFonts w:ascii="Times New Roman" w:hAnsi="Times New Roman" w:eastAsia="仿宋_GB2312"/>
          <w:color w:val="000000"/>
          <w:sz w:val="32"/>
          <w:szCs w:val="32"/>
        </w:rPr>
      </w:pPr>
      <w:r>
        <w:rPr>
          <w:rFonts w:ascii="Times New Roman" w:hAnsi="Times New Roman" w:eastAsia="仿宋_GB2312"/>
          <w:color w:val="000000"/>
          <w:sz w:val="32"/>
          <w:szCs w:val="32"/>
        </w:rPr>
        <w:t>（二）</w:t>
      </w:r>
    </w:p>
    <w:p w14:paraId="0E4B7330">
      <w:pPr>
        <w:spacing w:line="560" w:lineRule="exact"/>
        <w:ind w:firstLine="640" w:firstLineChars="200"/>
        <w:rPr>
          <w:rFonts w:ascii="Times New Roman" w:hAnsi="Times New Roman"/>
          <w:color w:val="000000"/>
          <w:sz w:val="32"/>
          <w:szCs w:val="32"/>
        </w:rPr>
      </w:pPr>
      <w:r>
        <w:rPr>
          <w:rFonts w:ascii="Times New Roman" w:hAnsi="Times New Roman"/>
          <w:color w:val="000000"/>
          <w:sz w:val="32"/>
          <w:szCs w:val="32"/>
        </w:rPr>
        <w:t xml:space="preserve"> </w:t>
      </w:r>
      <w:r>
        <w:rPr>
          <w:rFonts w:ascii="Times New Roman" w:hAnsi="Times New Roman"/>
          <w:bCs/>
          <w:color w:val="000000"/>
          <w:sz w:val="32"/>
          <w:szCs w:val="32"/>
        </w:rPr>
        <w:t>........</w:t>
      </w:r>
    </w:p>
    <w:p w14:paraId="32E65772">
      <w:pPr>
        <w:spacing w:line="560" w:lineRule="exact"/>
        <w:ind w:firstLine="640" w:firstLineChars="200"/>
        <w:rPr>
          <w:rFonts w:ascii="Times New Roman" w:hAnsi="Times New Roman" w:eastAsia="黑体"/>
          <w:color w:val="000000"/>
          <w:sz w:val="32"/>
          <w:szCs w:val="32"/>
        </w:rPr>
      </w:pPr>
      <w:r>
        <w:rPr>
          <w:rFonts w:ascii="Times New Roman" w:hAnsi="Times New Roman" w:eastAsia="黑体"/>
          <w:color w:val="000000"/>
          <w:sz w:val="32"/>
          <w:szCs w:val="32"/>
        </w:rPr>
        <w:t>三、经费预算</w:t>
      </w:r>
    </w:p>
    <w:p w14:paraId="2EEA1458">
      <w:pPr>
        <w:spacing w:line="560" w:lineRule="exact"/>
        <w:ind w:firstLine="640" w:firstLineChars="200"/>
        <w:rPr>
          <w:rFonts w:ascii="Times New Roman" w:hAnsi="Times New Roman" w:eastAsia="仿宋_GB2312"/>
          <w:color w:val="000000"/>
          <w:sz w:val="32"/>
          <w:szCs w:val="32"/>
        </w:rPr>
      </w:pPr>
      <w:r>
        <w:rPr>
          <w:rFonts w:hint="eastAsia" w:ascii="楷体_GB2312" w:hAnsi="楷体_GB2312" w:eastAsia="楷体_GB2312" w:cs="楷体_GB2312"/>
          <w:color w:val="000000"/>
          <w:sz w:val="32"/>
          <w:szCs w:val="32"/>
        </w:rPr>
        <w:t>（一）资金来源。</w:t>
      </w:r>
      <w:bookmarkStart w:id="1" w:name="OLE_LINK2"/>
      <w:r>
        <w:rPr>
          <w:rFonts w:ascii="Times New Roman" w:hAnsi="Times New Roman" w:eastAsia="仿宋_GB2312"/>
          <w:color w:val="000000"/>
          <w:sz w:val="32"/>
          <w:szCs w:val="32"/>
        </w:rPr>
        <w:t>项目总投资（入）资金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万元，其中：省级财政补助资金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万元，市县财政配套资金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万元，实施单位自筹资金</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万元。</w:t>
      </w:r>
      <w:bookmarkEnd w:id="1"/>
    </w:p>
    <w:p w14:paraId="71868C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（二）明细预算。</w:t>
      </w:r>
    </w:p>
    <w:p w14:paraId="6197994B">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ascii="Times New Roman" w:hAnsi="Times New Roman"/>
          <w:color w:val="000000"/>
          <w:sz w:val="24"/>
        </w:rPr>
      </w:pPr>
      <w:r>
        <w:rPr>
          <w:rFonts w:hint="eastAsia" w:ascii="Times New Roman" w:hAnsi="Times New Roman"/>
          <w:color w:val="000000"/>
          <w:sz w:val="32"/>
          <w:szCs w:val="32"/>
        </w:rPr>
        <w:t xml:space="preserve">                </w:t>
      </w:r>
      <w:r>
        <w:rPr>
          <w:rFonts w:hint="eastAsia" w:ascii="仿宋_GB2312" w:hAnsi="仿宋_GB2312" w:eastAsia="仿宋_GB2312" w:cs="仿宋_GB2312"/>
          <w:color w:val="000000"/>
          <w:sz w:val="24"/>
        </w:rPr>
        <w:t>单位：万元</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4"/>
        <w:gridCol w:w="1208"/>
        <w:gridCol w:w="1361"/>
        <w:gridCol w:w="1200"/>
        <w:gridCol w:w="1200"/>
        <w:gridCol w:w="1355"/>
      </w:tblGrid>
      <w:tr w14:paraId="3AA6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494" w:type="dxa"/>
            <w:vMerge w:val="restart"/>
            <w:noWrap w:val="0"/>
            <w:vAlign w:val="center"/>
          </w:tcPr>
          <w:p w14:paraId="13DC9F57">
            <w:pPr>
              <w:spacing w:line="5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实施内容</w:t>
            </w:r>
          </w:p>
        </w:tc>
        <w:tc>
          <w:tcPr>
            <w:tcW w:w="6324" w:type="dxa"/>
            <w:gridSpan w:val="5"/>
            <w:noWrap w:val="0"/>
            <w:vAlign w:val="center"/>
          </w:tcPr>
          <w:p w14:paraId="7BB9D631">
            <w:pPr>
              <w:spacing w:line="5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资  金  来  源</w:t>
            </w:r>
          </w:p>
        </w:tc>
      </w:tr>
      <w:tr w14:paraId="1DE9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494" w:type="dxa"/>
            <w:vMerge w:val="continue"/>
            <w:noWrap w:val="0"/>
            <w:vAlign w:val="center"/>
          </w:tcPr>
          <w:p w14:paraId="5FDA11B5">
            <w:pPr>
              <w:spacing w:line="560" w:lineRule="exact"/>
              <w:jc w:val="center"/>
              <w:rPr>
                <w:rFonts w:hint="eastAsia" w:ascii="黑体" w:hAnsi="黑体" w:eastAsia="黑体" w:cs="黑体"/>
                <w:b w:val="0"/>
                <w:bCs w:val="0"/>
                <w:color w:val="000000"/>
                <w:sz w:val="24"/>
                <w:szCs w:val="24"/>
              </w:rPr>
            </w:pPr>
          </w:p>
        </w:tc>
        <w:tc>
          <w:tcPr>
            <w:tcW w:w="1208" w:type="dxa"/>
            <w:noWrap w:val="0"/>
            <w:vAlign w:val="center"/>
          </w:tcPr>
          <w:p w14:paraId="79B64248">
            <w:pPr>
              <w:spacing w:line="5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合 计</w:t>
            </w:r>
          </w:p>
        </w:tc>
        <w:tc>
          <w:tcPr>
            <w:tcW w:w="1361" w:type="dxa"/>
            <w:noWrap w:val="0"/>
            <w:vAlign w:val="center"/>
          </w:tcPr>
          <w:p w14:paraId="1DDD8A29">
            <w:pPr>
              <w:spacing w:line="3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省级财政补助资金</w:t>
            </w:r>
          </w:p>
        </w:tc>
        <w:tc>
          <w:tcPr>
            <w:tcW w:w="1200" w:type="dxa"/>
            <w:noWrap w:val="0"/>
            <w:vAlign w:val="center"/>
          </w:tcPr>
          <w:p w14:paraId="6F08A7A7">
            <w:pPr>
              <w:spacing w:line="3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市县财政</w:t>
            </w:r>
          </w:p>
          <w:p w14:paraId="311548F7">
            <w:pPr>
              <w:spacing w:line="3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补助资金</w:t>
            </w:r>
          </w:p>
        </w:tc>
        <w:tc>
          <w:tcPr>
            <w:tcW w:w="1200" w:type="dxa"/>
            <w:noWrap w:val="0"/>
            <w:vAlign w:val="center"/>
          </w:tcPr>
          <w:p w14:paraId="00CC5D90">
            <w:pPr>
              <w:spacing w:line="3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实施单位</w:t>
            </w:r>
          </w:p>
          <w:p w14:paraId="21911ECB">
            <w:pPr>
              <w:spacing w:line="360" w:lineRule="exact"/>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自筹资金</w:t>
            </w:r>
          </w:p>
        </w:tc>
        <w:tc>
          <w:tcPr>
            <w:tcW w:w="1355" w:type="dxa"/>
            <w:noWrap w:val="0"/>
            <w:vAlign w:val="center"/>
          </w:tcPr>
          <w:p w14:paraId="57B947AC">
            <w:pPr>
              <w:spacing w:line="360" w:lineRule="exact"/>
              <w:jc w:val="center"/>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其他资金</w:t>
            </w:r>
          </w:p>
        </w:tc>
      </w:tr>
      <w:tr w14:paraId="48DE0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494" w:type="dxa"/>
            <w:noWrap w:val="0"/>
            <w:vAlign w:val="center"/>
          </w:tcPr>
          <w:p w14:paraId="27AECFE5">
            <w:pPr>
              <w:spacing w:line="560" w:lineRule="exact"/>
              <w:jc w:val="center"/>
              <w:rPr>
                <w:rFonts w:ascii="Times New Roman" w:hAnsi="Times New Roman"/>
                <w:color w:val="000000"/>
                <w:sz w:val="24"/>
              </w:rPr>
            </w:pPr>
          </w:p>
        </w:tc>
        <w:tc>
          <w:tcPr>
            <w:tcW w:w="1208" w:type="dxa"/>
            <w:noWrap w:val="0"/>
            <w:vAlign w:val="center"/>
          </w:tcPr>
          <w:p w14:paraId="369ABE25">
            <w:pPr>
              <w:spacing w:line="560" w:lineRule="exact"/>
              <w:jc w:val="center"/>
              <w:rPr>
                <w:rFonts w:ascii="Times New Roman" w:hAnsi="Times New Roman"/>
                <w:color w:val="000000"/>
                <w:sz w:val="24"/>
              </w:rPr>
            </w:pPr>
          </w:p>
        </w:tc>
        <w:tc>
          <w:tcPr>
            <w:tcW w:w="1361" w:type="dxa"/>
            <w:noWrap w:val="0"/>
            <w:vAlign w:val="center"/>
          </w:tcPr>
          <w:p w14:paraId="0F0827DD">
            <w:pPr>
              <w:spacing w:line="560" w:lineRule="exact"/>
              <w:jc w:val="center"/>
              <w:rPr>
                <w:rFonts w:ascii="Times New Roman" w:hAnsi="Times New Roman"/>
                <w:color w:val="000000"/>
                <w:sz w:val="24"/>
              </w:rPr>
            </w:pPr>
          </w:p>
        </w:tc>
        <w:tc>
          <w:tcPr>
            <w:tcW w:w="1200" w:type="dxa"/>
            <w:noWrap w:val="0"/>
            <w:vAlign w:val="center"/>
          </w:tcPr>
          <w:p w14:paraId="15D96F79">
            <w:pPr>
              <w:spacing w:line="560" w:lineRule="exact"/>
              <w:jc w:val="center"/>
              <w:rPr>
                <w:rFonts w:ascii="Times New Roman" w:hAnsi="Times New Roman"/>
                <w:color w:val="000000"/>
                <w:sz w:val="24"/>
              </w:rPr>
            </w:pPr>
          </w:p>
        </w:tc>
        <w:tc>
          <w:tcPr>
            <w:tcW w:w="1200" w:type="dxa"/>
            <w:noWrap w:val="0"/>
            <w:vAlign w:val="center"/>
          </w:tcPr>
          <w:p w14:paraId="73DEC0C1">
            <w:pPr>
              <w:spacing w:line="560" w:lineRule="exact"/>
              <w:jc w:val="center"/>
              <w:rPr>
                <w:rFonts w:ascii="Times New Roman" w:hAnsi="Times New Roman"/>
                <w:color w:val="000000"/>
                <w:sz w:val="24"/>
              </w:rPr>
            </w:pPr>
          </w:p>
        </w:tc>
        <w:tc>
          <w:tcPr>
            <w:tcW w:w="1355" w:type="dxa"/>
            <w:noWrap w:val="0"/>
            <w:vAlign w:val="center"/>
          </w:tcPr>
          <w:p w14:paraId="05DBF237">
            <w:pPr>
              <w:spacing w:line="560" w:lineRule="exact"/>
              <w:jc w:val="center"/>
              <w:rPr>
                <w:rFonts w:ascii="Times New Roman" w:hAnsi="Times New Roman"/>
                <w:color w:val="000000"/>
                <w:sz w:val="24"/>
              </w:rPr>
            </w:pPr>
          </w:p>
        </w:tc>
      </w:tr>
      <w:tr w14:paraId="3FB34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494" w:type="dxa"/>
            <w:noWrap w:val="0"/>
            <w:vAlign w:val="center"/>
          </w:tcPr>
          <w:p w14:paraId="68F17FFA">
            <w:pPr>
              <w:spacing w:line="560" w:lineRule="exact"/>
              <w:jc w:val="center"/>
              <w:rPr>
                <w:rFonts w:ascii="Times New Roman" w:hAnsi="Times New Roman"/>
                <w:color w:val="000000"/>
                <w:sz w:val="24"/>
              </w:rPr>
            </w:pPr>
          </w:p>
        </w:tc>
        <w:tc>
          <w:tcPr>
            <w:tcW w:w="1208" w:type="dxa"/>
            <w:noWrap w:val="0"/>
            <w:vAlign w:val="center"/>
          </w:tcPr>
          <w:p w14:paraId="609A34EA">
            <w:pPr>
              <w:spacing w:line="560" w:lineRule="exact"/>
              <w:jc w:val="center"/>
              <w:rPr>
                <w:rFonts w:ascii="Times New Roman" w:hAnsi="Times New Roman"/>
                <w:color w:val="000000"/>
                <w:sz w:val="24"/>
              </w:rPr>
            </w:pPr>
          </w:p>
        </w:tc>
        <w:tc>
          <w:tcPr>
            <w:tcW w:w="1361" w:type="dxa"/>
            <w:noWrap w:val="0"/>
            <w:vAlign w:val="center"/>
          </w:tcPr>
          <w:p w14:paraId="0067406F">
            <w:pPr>
              <w:spacing w:line="560" w:lineRule="exact"/>
              <w:jc w:val="center"/>
              <w:rPr>
                <w:rFonts w:ascii="Times New Roman" w:hAnsi="Times New Roman"/>
                <w:color w:val="000000"/>
                <w:sz w:val="24"/>
              </w:rPr>
            </w:pPr>
          </w:p>
        </w:tc>
        <w:tc>
          <w:tcPr>
            <w:tcW w:w="1200" w:type="dxa"/>
            <w:noWrap w:val="0"/>
            <w:vAlign w:val="center"/>
          </w:tcPr>
          <w:p w14:paraId="6C8E1424">
            <w:pPr>
              <w:spacing w:line="560" w:lineRule="exact"/>
              <w:jc w:val="center"/>
              <w:rPr>
                <w:rFonts w:ascii="Times New Roman" w:hAnsi="Times New Roman"/>
                <w:color w:val="000000"/>
                <w:sz w:val="24"/>
              </w:rPr>
            </w:pPr>
          </w:p>
        </w:tc>
        <w:tc>
          <w:tcPr>
            <w:tcW w:w="1200" w:type="dxa"/>
            <w:noWrap w:val="0"/>
            <w:vAlign w:val="center"/>
          </w:tcPr>
          <w:p w14:paraId="3585A7E4">
            <w:pPr>
              <w:spacing w:line="560" w:lineRule="exact"/>
              <w:jc w:val="center"/>
              <w:rPr>
                <w:rFonts w:ascii="Times New Roman" w:hAnsi="Times New Roman"/>
                <w:color w:val="000000"/>
                <w:sz w:val="24"/>
              </w:rPr>
            </w:pPr>
          </w:p>
        </w:tc>
        <w:tc>
          <w:tcPr>
            <w:tcW w:w="1355" w:type="dxa"/>
            <w:noWrap w:val="0"/>
            <w:vAlign w:val="center"/>
          </w:tcPr>
          <w:p w14:paraId="413DCCA6">
            <w:pPr>
              <w:spacing w:line="560" w:lineRule="exact"/>
              <w:jc w:val="center"/>
              <w:rPr>
                <w:rFonts w:ascii="Times New Roman" w:hAnsi="Times New Roman"/>
                <w:color w:val="000000"/>
                <w:sz w:val="24"/>
              </w:rPr>
            </w:pPr>
          </w:p>
        </w:tc>
      </w:tr>
      <w:tr w14:paraId="25558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494" w:type="dxa"/>
            <w:noWrap w:val="0"/>
            <w:vAlign w:val="center"/>
          </w:tcPr>
          <w:p w14:paraId="2E4A8126">
            <w:pPr>
              <w:spacing w:line="560" w:lineRule="exact"/>
              <w:jc w:val="center"/>
              <w:rPr>
                <w:rFonts w:ascii="Times New Roman" w:hAnsi="Times New Roman"/>
                <w:color w:val="000000"/>
                <w:sz w:val="24"/>
              </w:rPr>
            </w:pPr>
          </w:p>
        </w:tc>
        <w:tc>
          <w:tcPr>
            <w:tcW w:w="1208" w:type="dxa"/>
            <w:noWrap w:val="0"/>
            <w:vAlign w:val="center"/>
          </w:tcPr>
          <w:p w14:paraId="370D2833">
            <w:pPr>
              <w:spacing w:line="560" w:lineRule="exact"/>
              <w:jc w:val="center"/>
              <w:rPr>
                <w:rFonts w:ascii="Times New Roman" w:hAnsi="Times New Roman"/>
                <w:color w:val="000000"/>
                <w:sz w:val="24"/>
              </w:rPr>
            </w:pPr>
          </w:p>
        </w:tc>
        <w:tc>
          <w:tcPr>
            <w:tcW w:w="1361" w:type="dxa"/>
            <w:noWrap w:val="0"/>
            <w:vAlign w:val="center"/>
          </w:tcPr>
          <w:p w14:paraId="0DFF0463">
            <w:pPr>
              <w:spacing w:line="560" w:lineRule="exact"/>
              <w:jc w:val="center"/>
              <w:rPr>
                <w:rFonts w:ascii="Times New Roman" w:hAnsi="Times New Roman"/>
                <w:color w:val="000000"/>
                <w:sz w:val="24"/>
              </w:rPr>
            </w:pPr>
          </w:p>
        </w:tc>
        <w:tc>
          <w:tcPr>
            <w:tcW w:w="1200" w:type="dxa"/>
            <w:noWrap w:val="0"/>
            <w:vAlign w:val="center"/>
          </w:tcPr>
          <w:p w14:paraId="560124CC">
            <w:pPr>
              <w:spacing w:line="560" w:lineRule="exact"/>
              <w:jc w:val="center"/>
              <w:rPr>
                <w:rFonts w:ascii="Times New Roman" w:hAnsi="Times New Roman"/>
                <w:color w:val="000000"/>
                <w:sz w:val="24"/>
              </w:rPr>
            </w:pPr>
          </w:p>
        </w:tc>
        <w:tc>
          <w:tcPr>
            <w:tcW w:w="1200" w:type="dxa"/>
            <w:noWrap w:val="0"/>
            <w:vAlign w:val="center"/>
          </w:tcPr>
          <w:p w14:paraId="1F5E9F7E">
            <w:pPr>
              <w:spacing w:line="560" w:lineRule="exact"/>
              <w:jc w:val="center"/>
              <w:rPr>
                <w:rFonts w:ascii="Times New Roman" w:hAnsi="Times New Roman"/>
                <w:color w:val="000000"/>
                <w:sz w:val="24"/>
              </w:rPr>
            </w:pPr>
          </w:p>
        </w:tc>
        <w:tc>
          <w:tcPr>
            <w:tcW w:w="1355" w:type="dxa"/>
            <w:noWrap w:val="0"/>
            <w:vAlign w:val="center"/>
          </w:tcPr>
          <w:p w14:paraId="19CB5ED1">
            <w:pPr>
              <w:spacing w:line="560" w:lineRule="exact"/>
              <w:jc w:val="center"/>
              <w:rPr>
                <w:rFonts w:ascii="Times New Roman" w:hAnsi="Times New Roman"/>
                <w:color w:val="000000"/>
                <w:sz w:val="24"/>
              </w:rPr>
            </w:pPr>
          </w:p>
        </w:tc>
      </w:tr>
      <w:tr w14:paraId="1AF1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2494" w:type="dxa"/>
            <w:noWrap w:val="0"/>
            <w:vAlign w:val="center"/>
          </w:tcPr>
          <w:p w14:paraId="7A250295">
            <w:pPr>
              <w:spacing w:line="560" w:lineRule="exact"/>
              <w:jc w:val="center"/>
              <w:rPr>
                <w:rFonts w:ascii="Times New Roman" w:hAnsi="Times New Roman"/>
                <w:color w:val="000000"/>
                <w:sz w:val="24"/>
              </w:rPr>
            </w:pPr>
          </w:p>
        </w:tc>
        <w:tc>
          <w:tcPr>
            <w:tcW w:w="1208" w:type="dxa"/>
            <w:noWrap w:val="0"/>
            <w:vAlign w:val="center"/>
          </w:tcPr>
          <w:p w14:paraId="545C381F">
            <w:pPr>
              <w:spacing w:line="560" w:lineRule="exact"/>
              <w:jc w:val="center"/>
              <w:rPr>
                <w:rFonts w:ascii="Times New Roman" w:hAnsi="Times New Roman"/>
                <w:color w:val="000000"/>
                <w:sz w:val="24"/>
              </w:rPr>
            </w:pPr>
          </w:p>
        </w:tc>
        <w:tc>
          <w:tcPr>
            <w:tcW w:w="1361" w:type="dxa"/>
            <w:noWrap w:val="0"/>
            <w:vAlign w:val="center"/>
          </w:tcPr>
          <w:p w14:paraId="31B916C0">
            <w:pPr>
              <w:spacing w:line="560" w:lineRule="exact"/>
              <w:jc w:val="center"/>
              <w:rPr>
                <w:rFonts w:ascii="Times New Roman" w:hAnsi="Times New Roman"/>
                <w:color w:val="000000"/>
                <w:sz w:val="24"/>
              </w:rPr>
            </w:pPr>
          </w:p>
        </w:tc>
        <w:tc>
          <w:tcPr>
            <w:tcW w:w="1200" w:type="dxa"/>
            <w:noWrap w:val="0"/>
            <w:vAlign w:val="center"/>
          </w:tcPr>
          <w:p w14:paraId="457605AF">
            <w:pPr>
              <w:spacing w:line="560" w:lineRule="exact"/>
              <w:jc w:val="center"/>
              <w:rPr>
                <w:rFonts w:ascii="Times New Roman" w:hAnsi="Times New Roman"/>
                <w:color w:val="000000"/>
                <w:sz w:val="24"/>
              </w:rPr>
            </w:pPr>
          </w:p>
        </w:tc>
        <w:tc>
          <w:tcPr>
            <w:tcW w:w="1200" w:type="dxa"/>
            <w:noWrap w:val="0"/>
            <w:vAlign w:val="center"/>
          </w:tcPr>
          <w:p w14:paraId="75FDE6B2">
            <w:pPr>
              <w:spacing w:line="560" w:lineRule="exact"/>
              <w:jc w:val="center"/>
              <w:rPr>
                <w:rFonts w:ascii="Times New Roman" w:hAnsi="Times New Roman"/>
                <w:color w:val="000000"/>
                <w:sz w:val="24"/>
              </w:rPr>
            </w:pPr>
          </w:p>
        </w:tc>
        <w:tc>
          <w:tcPr>
            <w:tcW w:w="1355" w:type="dxa"/>
            <w:noWrap w:val="0"/>
            <w:vAlign w:val="center"/>
          </w:tcPr>
          <w:p w14:paraId="3B754439">
            <w:pPr>
              <w:spacing w:line="560" w:lineRule="exact"/>
              <w:jc w:val="center"/>
              <w:rPr>
                <w:rFonts w:ascii="Times New Roman" w:hAnsi="Times New Roman"/>
                <w:color w:val="000000"/>
                <w:sz w:val="24"/>
              </w:rPr>
            </w:pPr>
          </w:p>
        </w:tc>
      </w:tr>
      <w:tr w14:paraId="39F9B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494" w:type="dxa"/>
            <w:noWrap w:val="0"/>
            <w:vAlign w:val="center"/>
          </w:tcPr>
          <w:p w14:paraId="316CC397">
            <w:pPr>
              <w:spacing w:line="560" w:lineRule="exact"/>
              <w:jc w:val="center"/>
              <w:rPr>
                <w:rFonts w:ascii="Times New Roman" w:hAnsi="Times New Roman"/>
                <w:color w:val="000000"/>
                <w:sz w:val="24"/>
              </w:rPr>
            </w:pPr>
          </w:p>
        </w:tc>
        <w:tc>
          <w:tcPr>
            <w:tcW w:w="1208" w:type="dxa"/>
            <w:noWrap w:val="0"/>
            <w:vAlign w:val="center"/>
          </w:tcPr>
          <w:p w14:paraId="594CED16">
            <w:pPr>
              <w:spacing w:line="560" w:lineRule="exact"/>
              <w:jc w:val="center"/>
              <w:rPr>
                <w:rFonts w:ascii="Times New Roman" w:hAnsi="Times New Roman"/>
                <w:color w:val="000000"/>
                <w:sz w:val="24"/>
              </w:rPr>
            </w:pPr>
          </w:p>
        </w:tc>
        <w:tc>
          <w:tcPr>
            <w:tcW w:w="1361" w:type="dxa"/>
            <w:noWrap w:val="0"/>
            <w:vAlign w:val="center"/>
          </w:tcPr>
          <w:p w14:paraId="5643E25F">
            <w:pPr>
              <w:spacing w:line="560" w:lineRule="exact"/>
              <w:jc w:val="center"/>
              <w:rPr>
                <w:rFonts w:ascii="Times New Roman" w:hAnsi="Times New Roman"/>
                <w:color w:val="000000"/>
                <w:sz w:val="24"/>
              </w:rPr>
            </w:pPr>
          </w:p>
        </w:tc>
        <w:tc>
          <w:tcPr>
            <w:tcW w:w="1200" w:type="dxa"/>
            <w:noWrap w:val="0"/>
            <w:vAlign w:val="center"/>
          </w:tcPr>
          <w:p w14:paraId="5FC027F9">
            <w:pPr>
              <w:spacing w:line="560" w:lineRule="exact"/>
              <w:jc w:val="center"/>
              <w:rPr>
                <w:rFonts w:ascii="Times New Roman" w:hAnsi="Times New Roman"/>
                <w:color w:val="000000"/>
                <w:sz w:val="24"/>
              </w:rPr>
            </w:pPr>
          </w:p>
        </w:tc>
        <w:tc>
          <w:tcPr>
            <w:tcW w:w="1200" w:type="dxa"/>
            <w:noWrap w:val="0"/>
            <w:vAlign w:val="center"/>
          </w:tcPr>
          <w:p w14:paraId="39E0A344">
            <w:pPr>
              <w:spacing w:line="560" w:lineRule="exact"/>
              <w:jc w:val="center"/>
              <w:rPr>
                <w:rFonts w:ascii="Times New Roman" w:hAnsi="Times New Roman"/>
                <w:color w:val="000000"/>
                <w:sz w:val="24"/>
              </w:rPr>
            </w:pPr>
          </w:p>
        </w:tc>
        <w:tc>
          <w:tcPr>
            <w:tcW w:w="1355" w:type="dxa"/>
            <w:noWrap w:val="0"/>
            <w:vAlign w:val="center"/>
          </w:tcPr>
          <w:p w14:paraId="4A7D6C5C">
            <w:pPr>
              <w:spacing w:line="560" w:lineRule="exact"/>
              <w:jc w:val="center"/>
              <w:rPr>
                <w:rFonts w:ascii="Times New Roman" w:hAnsi="Times New Roman"/>
                <w:color w:val="000000"/>
                <w:sz w:val="24"/>
              </w:rPr>
            </w:pPr>
          </w:p>
        </w:tc>
      </w:tr>
    </w:tbl>
    <w:p w14:paraId="4E38E9F3">
      <w:pPr>
        <w:spacing w:line="560" w:lineRule="exact"/>
        <w:jc w:val="right"/>
        <w:rPr>
          <w:rFonts w:ascii="Times New Roman" w:hAnsi="Times New Roman"/>
          <w:color w:val="000000"/>
          <w:sz w:val="24"/>
        </w:rPr>
      </w:pPr>
      <w:r>
        <w:rPr>
          <w:rFonts w:ascii="Times New Roman" w:hAnsi="Times New Roman"/>
          <w:color w:val="000000"/>
          <w:sz w:val="32"/>
        </w:rPr>
        <w:t xml:space="preserve">                                    </w:t>
      </w:r>
    </w:p>
    <w:p w14:paraId="5F74EB1C">
      <w:pPr>
        <w:spacing w:line="560" w:lineRule="exact"/>
        <w:jc w:val="left"/>
        <w:rPr>
          <w:rFonts w:ascii="Times New Roman" w:hAnsi="Times New Roman"/>
          <w:color w:val="000000"/>
          <w:sz w:val="32"/>
          <w:szCs w:val="32"/>
        </w:rPr>
      </w:pPr>
      <w:r>
        <w:rPr>
          <w:rFonts w:ascii="Times New Roman" w:hAnsi="Times New Roman"/>
          <w:color w:val="000000"/>
          <w:sz w:val="32"/>
          <w:szCs w:val="32"/>
        </w:rPr>
        <w:t xml:space="preserve">    </w:t>
      </w:r>
    </w:p>
    <w:p w14:paraId="739FB1A5">
      <w:pPr>
        <w:spacing w:line="560" w:lineRule="exact"/>
        <w:ind w:firstLine="640" w:firstLineChars="200"/>
        <w:jc w:val="left"/>
        <w:rPr>
          <w:rFonts w:ascii="Times New Roman" w:hAnsi="Times New Roman" w:eastAsia="黑体"/>
          <w:color w:val="000000"/>
          <w:sz w:val="32"/>
          <w:szCs w:val="32"/>
        </w:rPr>
      </w:pPr>
      <w:r>
        <w:rPr>
          <w:rFonts w:ascii="Times New Roman" w:hAnsi="Times New Roman" w:eastAsia="黑体"/>
          <w:color w:val="000000"/>
          <w:sz w:val="32"/>
          <w:szCs w:val="32"/>
        </w:rPr>
        <w:t>四、实施进度</w:t>
      </w:r>
    </w:p>
    <w:p w14:paraId="6EFF4924">
      <w:pPr>
        <w:spacing w:line="56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本项目实施期限为</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年，时间自</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年</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月起至</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年</w:t>
      </w:r>
      <w:r>
        <w:rPr>
          <w:rFonts w:ascii="Times New Roman" w:hAnsi="Times New Roman" w:eastAsia="仿宋_GB2312"/>
          <w:color w:val="000000"/>
          <w:sz w:val="32"/>
          <w:szCs w:val="32"/>
          <w:u w:val="single"/>
        </w:rPr>
        <w:t xml:space="preserve">  </w:t>
      </w:r>
      <w:r>
        <w:rPr>
          <w:rFonts w:ascii="Times New Roman" w:hAnsi="Times New Roman" w:eastAsia="仿宋_GB2312"/>
          <w:color w:val="000000"/>
          <w:sz w:val="32"/>
          <w:szCs w:val="32"/>
        </w:rPr>
        <w:t>月止，实施进度安排如下：</w:t>
      </w:r>
    </w:p>
    <w:p w14:paraId="0F325576">
      <w:pPr>
        <w:spacing w:line="56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（一）</w:t>
      </w:r>
    </w:p>
    <w:p w14:paraId="2F568C09">
      <w:pPr>
        <w:spacing w:line="56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（二）</w:t>
      </w:r>
    </w:p>
    <w:p w14:paraId="2D01C3F2">
      <w:pPr>
        <w:spacing w:line="560" w:lineRule="exact"/>
        <w:ind w:firstLine="640" w:firstLineChars="200"/>
        <w:rPr>
          <w:rFonts w:ascii="Times New Roman" w:hAnsi="Times New Roman"/>
          <w:bCs/>
          <w:color w:val="000000"/>
          <w:sz w:val="32"/>
          <w:szCs w:val="32"/>
        </w:rPr>
      </w:pPr>
      <w:r>
        <w:rPr>
          <w:rFonts w:ascii="Times New Roman" w:hAnsi="Times New Roman"/>
          <w:bCs/>
          <w:color w:val="000000"/>
          <w:sz w:val="32"/>
          <w:szCs w:val="32"/>
        </w:rPr>
        <w:t>........</w:t>
      </w:r>
    </w:p>
    <w:p w14:paraId="08F39206">
      <w:pPr>
        <w:spacing w:line="560" w:lineRule="exact"/>
        <w:ind w:firstLine="640" w:firstLineChars="200"/>
        <w:rPr>
          <w:rFonts w:ascii="Times New Roman" w:hAnsi="Times New Roman" w:eastAsia="黑体"/>
          <w:color w:val="000000"/>
          <w:sz w:val="32"/>
          <w:szCs w:val="32"/>
        </w:rPr>
      </w:pPr>
      <w:r>
        <w:rPr>
          <w:rFonts w:ascii="Times New Roman" w:hAnsi="Times New Roman" w:eastAsia="黑体"/>
          <w:color w:val="000000"/>
          <w:sz w:val="32"/>
          <w:szCs w:val="32"/>
        </w:rPr>
        <w:t>五、绩效目标</w:t>
      </w:r>
    </w:p>
    <w:p w14:paraId="4DC9F94F">
      <w:pPr>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lang w:eastAsia="zh-CN"/>
        </w:rPr>
        <w:t>按照实施意见文中明确的绩效目标填写</w:t>
      </w:r>
    </w:p>
    <w:tbl>
      <w:tblPr>
        <w:tblStyle w:val="4"/>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4"/>
        <w:gridCol w:w="1713"/>
        <w:gridCol w:w="2207"/>
        <w:gridCol w:w="2672"/>
        <w:gridCol w:w="1254"/>
      </w:tblGrid>
      <w:tr w14:paraId="600F7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exact"/>
          <w:jc w:val="center"/>
        </w:trPr>
        <w:tc>
          <w:tcPr>
            <w:tcW w:w="597" w:type="pct"/>
            <w:noWrap w:val="0"/>
            <w:vAlign w:val="center"/>
          </w:tcPr>
          <w:p w14:paraId="5ED07D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Cs/>
                <w:color w:val="000000"/>
                <w:sz w:val="24"/>
                <w:szCs w:val="24"/>
              </w:rPr>
            </w:pPr>
            <w:r>
              <w:rPr>
                <w:rFonts w:hint="eastAsia" w:ascii="黑体" w:hAnsi="黑体" w:eastAsia="黑体" w:cs="黑体"/>
                <w:bCs/>
                <w:color w:val="000000"/>
                <w:sz w:val="24"/>
                <w:szCs w:val="24"/>
              </w:rPr>
              <w:t>序号</w:t>
            </w:r>
          </w:p>
        </w:tc>
        <w:tc>
          <w:tcPr>
            <w:tcW w:w="961" w:type="pct"/>
            <w:noWrap w:val="0"/>
            <w:vAlign w:val="center"/>
          </w:tcPr>
          <w:p w14:paraId="2ACE12B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Cs/>
                <w:color w:val="000000"/>
                <w:sz w:val="24"/>
                <w:szCs w:val="24"/>
                <w:lang w:val="en-US" w:eastAsia="zh-CN"/>
              </w:rPr>
            </w:pPr>
            <w:r>
              <w:rPr>
                <w:rFonts w:hint="eastAsia" w:ascii="黑体" w:hAnsi="黑体" w:eastAsia="黑体" w:cs="黑体"/>
                <w:bCs/>
                <w:color w:val="000000"/>
                <w:sz w:val="24"/>
                <w:szCs w:val="24"/>
                <w:lang w:val="en-US" w:eastAsia="zh-CN"/>
              </w:rPr>
              <w:t>一级指标</w:t>
            </w:r>
          </w:p>
        </w:tc>
        <w:tc>
          <w:tcPr>
            <w:tcW w:w="1238" w:type="pct"/>
            <w:noWrap w:val="0"/>
            <w:vAlign w:val="center"/>
          </w:tcPr>
          <w:p w14:paraId="75F4BF0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Cs/>
                <w:color w:val="000000"/>
                <w:sz w:val="24"/>
                <w:szCs w:val="24"/>
                <w:lang w:val="en-US" w:eastAsia="zh-CN"/>
              </w:rPr>
            </w:pPr>
            <w:r>
              <w:rPr>
                <w:rFonts w:hint="eastAsia" w:ascii="黑体" w:hAnsi="黑体" w:eastAsia="黑体" w:cs="黑体"/>
                <w:bCs/>
                <w:color w:val="000000"/>
                <w:sz w:val="24"/>
                <w:szCs w:val="24"/>
                <w:lang w:val="en-US" w:eastAsia="zh-CN"/>
              </w:rPr>
              <w:t>二级指标</w:t>
            </w:r>
          </w:p>
        </w:tc>
        <w:tc>
          <w:tcPr>
            <w:tcW w:w="1498" w:type="pct"/>
            <w:noWrap w:val="0"/>
            <w:vAlign w:val="center"/>
          </w:tcPr>
          <w:p w14:paraId="228007D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Cs/>
                <w:color w:val="000000"/>
                <w:sz w:val="24"/>
                <w:szCs w:val="24"/>
                <w:lang w:val="en-US" w:eastAsia="zh-CN"/>
              </w:rPr>
            </w:pPr>
            <w:r>
              <w:rPr>
                <w:rFonts w:hint="eastAsia" w:ascii="黑体" w:hAnsi="黑体" w:eastAsia="黑体" w:cs="黑体"/>
                <w:bCs/>
                <w:color w:val="000000"/>
                <w:sz w:val="24"/>
                <w:szCs w:val="24"/>
                <w:lang w:val="en-US" w:eastAsia="zh-CN"/>
              </w:rPr>
              <w:t>三级指标</w:t>
            </w:r>
          </w:p>
          <w:p w14:paraId="0FAD2CE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Cs/>
                <w:color w:val="000000"/>
                <w:sz w:val="24"/>
                <w:szCs w:val="24"/>
                <w:lang w:val="en-US" w:eastAsia="zh-CN"/>
              </w:rPr>
            </w:pPr>
            <w:r>
              <w:rPr>
                <w:rFonts w:hint="eastAsia" w:ascii="黑体" w:hAnsi="黑体" w:eastAsia="黑体" w:cs="黑体"/>
                <w:bCs/>
                <w:color w:val="000000"/>
                <w:sz w:val="24"/>
                <w:szCs w:val="24"/>
                <w:lang w:val="en-US" w:eastAsia="zh-CN"/>
              </w:rPr>
              <w:t>（具体指标名称）</w:t>
            </w:r>
          </w:p>
        </w:tc>
        <w:tc>
          <w:tcPr>
            <w:tcW w:w="703" w:type="pct"/>
            <w:noWrap w:val="0"/>
            <w:vAlign w:val="center"/>
          </w:tcPr>
          <w:p w14:paraId="345758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bCs/>
                <w:color w:val="000000"/>
                <w:sz w:val="24"/>
                <w:szCs w:val="24"/>
              </w:rPr>
            </w:pPr>
            <w:r>
              <w:rPr>
                <w:rFonts w:hint="eastAsia" w:ascii="黑体" w:hAnsi="黑体" w:eastAsia="黑体" w:cs="黑体"/>
                <w:bCs/>
                <w:color w:val="000000"/>
                <w:sz w:val="24"/>
                <w:szCs w:val="24"/>
                <w:lang w:val="en-US" w:eastAsia="zh-CN"/>
              </w:rPr>
              <w:t>指标</w:t>
            </w:r>
            <w:r>
              <w:rPr>
                <w:rFonts w:hint="eastAsia" w:ascii="黑体" w:hAnsi="黑体" w:eastAsia="黑体" w:cs="黑体"/>
                <w:bCs/>
                <w:color w:val="000000"/>
                <w:sz w:val="24"/>
                <w:szCs w:val="24"/>
              </w:rPr>
              <w:t>值</w:t>
            </w:r>
          </w:p>
        </w:tc>
      </w:tr>
      <w:tr w14:paraId="64C4C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58E9F2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1</w:t>
            </w:r>
          </w:p>
        </w:tc>
        <w:tc>
          <w:tcPr>
            <w:tcW w:w="961" w:type="pct"/>
            <w:vMerge w:val="restart"/>
            <w:noWrap w:val="0"/>
            <w:vAlign w:val="center"/>
          </w:tcPr>
          <w:p w14:paraId="3F2F28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产出指标</w:t>
            </w:r>
          </w:p>
        </w:tc>
        <w:tc>
          <w:tcPr>
            <w:tcW w:w="1238" w:type="pct"/>
            <w:noWrap w:val="0"/>
            <w:vAlign w:val="center"/>
          </w:tcPr>
          <w:p w14:paraId="2D8698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数量指标</w:t>
            </w:r>
          </w:p>
        </w:tc>
        <w:tc>
          <w:tcPr>
            <w:tcW w:w="1498" w:type="pct"/>
            <w:noWrap w:val="0"/>
            <w:vAlign w:val="center"/>
          </w:tcPr>
          <w:p w14:paraId="073B07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645B7C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3B47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jc w:val="center"/>
        </w:trPr>
        <w:tc>
          <w:tcPr>
            <w:tcW w:w="597" w:type="pct"/>
            <w:noWrap w:val="0"/>
            <w:vAlign w:val="center"/>
          </w:tcPr>
          <w:p w14:paraId="2A76C7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2</w:t>
            </w:r>
          </w:p>
        </w:tc>
        <w:tc>
          <w:tcPr>
            <w:tcW w:w="961" w:type="pct"/>
            <w:vMerge w:val="continue"/>
            <w:noWrap w:val="0"/>
            <w:vAlign w:val="center"/>
          </w:tcPr>
          <w:p w14:paraId="0BC2BC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238" w:type="pct"/>
            <w:noWrap w:val="0"/>
            <w:vAlign w:val="center"/>
          </w:tcPr>
          <w:p w14:paraId="32A72E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质量指标</w:t>
            </w:r>
          </w:p>
        </w:tc>
        <w:tc>
          <w:tcPr>
            <w:tcW w:w="1498" w:type="pct"/>
            <w:noWrap w:val="0"/>
            <w:vAlign w:val="center"/>
          </w:tcPr>
          <w:p w14:paraId="1F8D40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6705A4C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2A03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4391C1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3</w:t>
            </w:r>
          </w:p>
        </w:tc>
        <w:tc>
          <w:tcPr>
            <w:tcW w:w="961" w:type="pct"/>
            <w:vMerge w:val="continue"/>
            <w:noWrap w:val="0"/>
            <w:vAlign w:val="center"/>
          </w:tcPr>
          <w:p w14:paraId="0E245C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238" w:type="pct"/>
            <w:noWrap w:val="0"/>
            <w:vAlign w:val="center"/>
          </w:tcPr>
          <w:p w14:paraId="63915F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时效指标</w:t>
            </w:r>
          </w:p>
        </w:tc>
        <w:tc>
          <w:tcPr>
            <w:tcW w:w="1498" w:type="pct"/>
            <w:noWrap w:val="0"/>
            <w:vAlign w:val="center"/>
          </w:tcPr>
          <w:p w14:paraId="778451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62C906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6AF94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3EC9B4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4</w:t>
            </w:r>
          </w:p>
        </w:tc>
        <w:tc>
          <w:tcPr>
            <w:tcW w:w="961" w:type="pct"/>
            <w:vMerge w:val="continue"/>
            <w:noWrap w:val="0"/>
            <w:vAlign w:val="center"/>
          </w:tcPr>
          <w:p w14:paraId="3B77F7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238" w:type="pct"/>
            <w:noWrap w:val="0"/>
            <w:vAlign w:val="center"/>
          </w:tcPr>
          <w:p w14:paraId="10315C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成本指标</w:t>
            </w:r>
          </w:p>
        </w:tc>
        <w:tc>
          <w:tcPr>
            <w:tcW w:w="1498" w:type="pct"/>
            <w:noWrap w:val="0"/>
            <w:vAlign w:val="center"/>
          </w:tcPr>
          <w:p w14:paraId="7B6B88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7D90F8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21CA4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07EFD2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5</w:t>
            </w:r>
          </w:p>
        </w:tc>
        <w:tc>
          <w:tcPr>
            <w:tcW w:w="961" w:type="pct"/>
            <w:vMerge w:val="restart"/>
            <w:noWrap w:val="0"/>
            <w:vAlign w:val="center"/>
          </w:tcPr>
          <w:p w14:paraId="2F24CA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效益指标</w:t>
            </w:r>
          </w:p>
        </w:tc>
        <w:tc>
          <w:tcPr>
            <w:tcW w:w="1238" w:type="pct"/>
            <w:noWrap w:val="0"/>
            <w:vAlign w:val="center"/>
          </w:tcPr>
          <w:p w14:paraId="6CB27EC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社会效益指标</w:t>
            </w:r>
          </w:p>
        </w:tc>
        <w:tc>
          <w:tcPr>
            <w:tcW w:w="1498" w:type="pct"/>
            <w:noWrap w:val="0"/>
            <w:vAlign w:val="center"/>
          </w:tcPr>
          <w:p w14:paraId="637DDA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1F6AA2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4FD0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62EA88D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6</w:t>
            </w:r>
          </w:p>
        </w:tc>
        <w:tc>
          <w:tcPr>
            <w:tcW w:w="961" w:type="pct"/>
            <w:vMerge w:val="continue"/>
            <w:noWrap w:val="0"/>
            <w:vAlign w:val="center"/>
          </w:tcPr>
          <w:p w14:paraId="1657FD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238" w:type="pct"/>
            <w:noWrap w:val="0"/>
            <w:vAlign w:val="center"/>
          </w:tcPr>
          <w:p w14:paraId="23F47A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经济效益指标</w:t>
            </w:r>
          </w:p>
        </w:tc>
        <w:tc>
          <w:tcPr>
            <w:tcW w:w="1498" w:type="pct"/>
            <w:noWrap w:val="0"/>
            <w:vAlign w:val="center"/>
          </w:tcPr>
          <w:p w14:paraId="0DBD63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24D6B8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35AB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3C6A37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7</w:t>
            </w:r>
          </w:p>
        </w:tc>
        <w:tc>
          <w:tcPr>
            <w:tcW w:w="961" w:type="pct"/>
            <w:vMerge w:val="continue"/>
            <w:noWrap w:val="0"/>
            <w:vAlign w:val="center"/>
          </w:tcPr>
          <w:p w14:paraId="75FB8B2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238" w:type="pct"/>
            <w:noWrap w:val="0"/>
            <w:vAlign w:val="center"/>
          </w:tcPr>
          <w:p w14:paraId="53CF01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生态效益指标</w:t>
            </w:r>
          </w:p>
        </w:tc>
        <w:tc>
          <w:tcPr>
            <w:tcW w:w="1498" w:type="pct"/>
            <w:noWrap w:val="0"/>
            <w:vAlign w:val="center"/>
          </w:tcPr>
          <w:p w14:paraId="3A627E6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68D3523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3F59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154D8E4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8</w:t>
            </w:r>
          </w:p>
        </w:tc>
        <w:tc>
          <w:tcPr>
            <w:tcW w:w="961" w:type="pct"/>
            <w:vMerge w:val="continue"/>
            <w:noWrap w:val="0"/>
            <w:vAlign w:val="center"/>
          </w:tcPr>
          <w:p w14:paraId="5BE137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1238" w:type="pct"/>
            <w:noWrap w:val="0"/>
            <w:vAlign w:val="center"/>
          </w:tcPr>
          <w:p w14:paraId="3FB35F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可持续影响指标</w:t>
            </w:r>
          </w:p>
        </w:tc>
        <w:tc>
          <w:tcPr>
            <w:tcW w:w="1498" w:type="pct"/>
            <w:noWrap w:val="0"/>
            <w:vAlign w:val="center"/>
          </w:tcPr>
          <w:p w14:paraId="32C1B4B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01442E8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r w14:paraId="424E7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97" w:type="pct"/>
            <w:noWrap w:val="0"/>
            <w:vAlign w:val="center"/>
          </w:tcPr>
          <w:p w14:paraId="5EA636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color w:val="000000"/>
                <w:sz w:val="24"/>
                <w:szCs w:val="24"/>
                <w:lang w:val="en-US" w:eastAsia="zh-CN"/>
              </w:rPr>
            </w:pPr>
            <w:r>
              <w:rPr>
                <w:rFonts w:hint="default" w:ascii="Times New Roman" w:hAnsi="Times New Roman" w:eastAsia="仿宋_GB2312" w:cs="Times New Roman"/>
                <w:color w:val="000000"/>
                <w:sz w:val="24"/>
                <w:szCs w:val="24"/>
                <w:lang w:val="en-US" w:eastAsia="zh-CN"/>
              </w:rPr>
              <w:t>9</w:t>
            </w:r>
          </w:p>
        </w:tc>
        <w:tc>
          <w:tcPr>
            <w:tcW w:w="961" w:type="pct"/>
            <w:noWrap w:val="0"/>
            <w:vAlign w:val="center"/>
          </w:tcPr>
          <w:p w14:paraId="512AEF8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满意度指标</w:t>
            </w:r>
          </w:p>
        </w:tc>
        <w:tc>
          <w:tcPr>
            <w:tcW w:w="1238" w:type="pct"/>
            <w:noWrap w:val="0"/>
            <w:vAlign w:val="center"/>
          </w:tcPr>
          <w:p w14:paraId="724537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满意度指标</w:t>
            </w:r>
          </w:p>
        </w:tc>
        <w:tc>
          <w:tcPr>
            <w:tcW w:w="1498" w:type="pct"/>
            <w:noWrap w:val="0"/>
            <w:vAlign w:val="center"/>
          </w:tcPr>
          <w:p w14:paraId="68AE36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c>
          <w:tcPr>
            <w:tcW w:w="703" w:type="pct"/>
            <w:noWrap w:val="0"/>
            <w:vAlign w:val="center"/>
          </w:tcPr>
          <w:p w14:paraId="5CCFFCA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000000"/>
                <w:sz w:val="24"/>
                <w:szCs w:val="24"/>
              </w:rPr>
            </w:pPr>
          </w:p>
        </w:tc>
      </w:tr>
    </w:tbl>
    <w:p w14:paraId="3C7D32B4">
      <w:pPr>
        <w:spacing w:line="560" w:lineRule="exact"/>
        <w:ind w:firstLine="640" w:firstLineChars="200"/>
        <w:rPr>
          <w:rFonts w:ascii="Times New Roman" w:hAnsi="Times New Roman" w:eastAsia="黑体"/>
          <w:color w:val="000000"/>
          <w:sz w:val="32"/>
          <w:szCs w:val="32"/>
        </w:rPr>
      </w:pPr>
      <w:r>
        <w:rPr>
          <w:rFonts w:ascii="Times New Roman" w:hAnsi="Times New Roman" w:eastAsia="黑体"/>
          <w:color w:val="000000"/>
          <w:sz w:val="32"/>
          <w:szCs w:val="32"/>
        </w:rPr>
        <w:t>六、组织管理</w:t>
      </w:r>
    </w:p>
    <w:p w14:paraId="4437994F">
      <w:pPr>
        <w:spacing w:line="560" w:lineRule="exact"/>
        <w:ind w:firstLine="640" w:firstLineChars="200"/>
        <w:rPr>
          <w:rFonts w:ascii="Times New Roman" w:hAnsi="Times New Roman" w:eastAsia="仿宋_GB2312"/>
          <w:color w:val="000000"/>
          <w:sz w:val="32"/>
          <w:szCs w:val="32"/>
        </w:rPr>
      </w:pPr>
      <w:r>
        <w:rPr>
          <w:rFonts w:ascii="Times New Roman" w:hAnsi="Times New Roman" w:eastAsia="仿宋_GB2312"/>
          <w:color w:val="000000"/>
          <w:sz w:val="32"/>
          <w:szCs w:val="32"/>
        </w:rPr>
        <w:t>（一）项目组成员（其中明确项目联系人及联系方式）</w:t>
      </w:r>
    </w:p>
    <w:p w14:paraId="329F347A">
      <w:pPr>
        <w:keepNext w:val="0"/>
        <w:keepLines w:val="0"/>
        <w:pageBreakBefore w:val="0"/>
        <w:widowControl/>
        <w:kinsoku/>
        <w:wordWrap/>
        <w:overflowPunct/>
        <w:topLinePunct w:val="0"/>
        <w:autoSpaceDE/>
        <w:bidi w:val="0"/>
        <w:adjustRightInd/>
        <w:snapToGrid/>
        <w:spacing w:line="560" w:lineRule="exact"/>
        <w:jc w:val="left"/>
        <w:textAlignment w:val="auto"/>
        <w:outlineLvl w:val="9"/>
        <w:rPr>
          <w:rFonts w:hint="default" w:ascii="Times New Roman" w:hAnsi="Times New Roman" w:eastAsia="仿宋_GB2312" w:cs="Times New Roman"/>
          <w:sz w:val="32"/>
          <w:szCs w:val="32"/>
        </w:rPr>
      </w:pPr>
      <w:r>
        <w:rPr>
          <w:rFonts w:hint="eastAsia" w:ascii="Times New Roman" w:hAnsi="Times New Roman"/>
          <w:color w:val="000000"/>
          <w:sz w:val="32"/>
          <w:szCs w:val="32"/>
          <w:lang w:val="en-US" w:eastAsia="zh-CN"/>
        </w:rPr>
        <w:t xml:space="preserve"> </w:t>
      </w:r>
      <w:r>
        <w:rPr>
          <w:rFonts w:hint="eastAsia" w:ascii="Times New Roman" w:hAnsi="Times New Roman"/>
          <w:color w:val="000000"/>
          <w:sz w:val="32"/>
          <w:szCs w:val="32"/>
        </w:rPr>
        <w:t xml:space="preserve"> </w:t>
      </w:r>
      <w:r>
        <w:rPr>
          <w:rFonts w:hint="eastAsia" w:ascii="Times New Roman" w:hAnsi="Times New Roman"/>
          <w:color w:val="000000"/>
          <w:sz w:val="32"/>
          <w:szCs w:val="32"/>
          <w:lang w:val="en-US" w:eastAsia="zh-CN"/>
        </w:rPr>
        <w:t xml:space="preserve"> </w:t>
      </w:r>
      <w:r>
        <w:rPr>
          <w:rFonts w:hint="eastAsia" w:ascii="Times New Roman" w:hAnsi="Times New Roman"/>
          <w:color w:val="000000"/>
          <w:sz w:val="32"/>
          <w:szCs w:val="32"/>
        </w:rPr>
        <w:t xml:space="preserve"> </w:t>
      </w:r>
      <w:r>
        <w:rPr>
          <w:rFonts w:ascii="Times New Roman" w:hAnsi="Times New Roman" w:eastAsia="仿宋_GB2312"/>
          <w:color w:val="000000"/>
          <w:sz w:val="32"/>
          <w:szCs w:val="32"/>
        </w:rPr>
        <w:t>（二）管理责任人</w:t>
      </w:r>
    </w:p>
    <w:p w14:paraId="44BE9782"/>
    <w:sectPr>
      <w:headerReference r:id="rId3" w:type="default"/>
      <w:footerReference r:id="rId4" w:type="default"/>
      <w:footerReference r:id="rId5" w:type="even"/>
      <w:pgSz w:w="11906" w:h="16838"/>
      <w:pgMar w:top="2098" w:right="1474" w:bottom="1985" w:left="1588" w:header="851" w:footer="90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54E14">
    <w:pPr>
      <w:pStyle w:val="2"/>
      <w:ind w:left="7661" w:leftChars="3648" w:right="360" w:firstLine="6560" w:firstLineChars="2050"/>
      <w:rPr>
        <w:rFonts w:hint="eastAsia"/>
        <w:sz w:val="32"/>
        <w:szCs w:val="32"/>
      </w:rPr>
    </w:pPr>
    <w:r>
      <w:rPr>
        <w:sz w:val="3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9EC338">
                          <w:pPr>
                            <w:pStyle w:val="2"/>
                            <w:rPr>
                              <w:rFonts w:hint="eastAsia" w:eastAsia="宋体"/>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- 1 -</w:t>
                          </w:r>
                          <w:r>
                            <w:rPr>
                              <w:rFonts w:hint="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89EC338">
                    <w:pPr>
                      <w:pStyle w:val="2"/>
                      <w:rPr>
                        <w:rFonts w:hint="eastAsia" w:eastAsia="宋体"/>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- 1 -</w:t>
                    </w:r>
                    <w:r>
                      <w:rPr>
                        <w:rFonts w:hint="eastAsia"/>
                        <w:sz w:val="28"/>
                        <w:szCs w:val="28"/>
                        <w:lang w:eastAsia="zh-CN"/>
                      </w:rPr>
                      <w:fldChar w:fldCharType="end"/>
                    </w:r>
                  </w:p>
                </w:txbxContent>
              </v:textbox>
            </v:shape>
          </w:pict>
        </mc:Fallback>
      </mc:AlternateContent>
    </w:r>
    <w:r>
      <w:rPr>
        <w:rFonts w:hint="eastAsia"/>
        <w:sz w:val="32"/>
        <w:szCs w:val="32"/>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238F9">
    <w:pPr>
      <w:pStyle w:val="2"/>
      <w:ind w:right="360"/>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40D1973">
                          <w:pPr>
                            <w:pStyle w:val="2"/>
                            <w:rPr>
                              <w:rFonts w:hint="eastAsia" w:eastAsia="宋体"/>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- 2 -</w:t>
                          </w:r>
                          <w:r>
                            <w:rPr>
                              <w:rFonts w:hint="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40D1973">
                    <w:pPr>
                      <w:pStyle w:val="2"/>
                      <w:rPr>
                        <w:rFonts w:hint="eastAsia" w:eastAsia="宋体"/>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rPr>
                        <w:rFonts w:hint="eastAsia"/>
                        <w:sz w:val="28"/>
                        <w:szCs w:val="28"/>
                        <w:lang w:eastAsia="zh-CN"/>
                      </w:rPr>
                      <w:t>- 2 -</w:t>
                    </w:r>
                    <w:r>
                      <w:rPr>
                        <w:rFonts w:hint="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C21B5">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922D6"/>
    <w:rsid w:val="4F3D37AB"/>
    <w:rsid w:val="70AA68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A正文"/>
    <w:basedOn w:val="1"/>
    <w:qFormat/>
    <w:uiPriority w:val="0"/>
    <w:pPr>
      <w:ind w:firstLine="200" w:firstLineChars="200"/>
    </w:pPr>
    <w:rPr>
      <w:rFonts w:eastAsia="宋体"/>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3477</Words>
  <Characters>3542</Characters>
  <Lines>0</Lines>
  <Paragraphs>0</Paragraphs>
  <TotalTime>0</TotalTime>
  <ScaleCrop>false</ScaleCrop>
  <LinksUpToDate>false</LinksUpToDate>
  <CharactersWithSpaces>3663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2025-07-10T01:22:00Z</dcterms:created>
  <dc:creator>Administrator</dc:creator>
  <cp:lastModifiedBy>降龙十巴掌</cp:lastModifiedBy>
  <dcterms:modified xsi:type="dcterms:W3CDTF">2025-07-10T01:26:01Z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eyJoZGlkIjoiZjM2OGEwNDE3YmI3ODcwZTY5Y2I4NzY2N2Q1Mjc1ZjgiLCJ1c2VySWQiOiIyMzU4Njg5OTUifQ==</vt:lpwstr>
  </property>
  <property fmtid="{D5CDD505-2E9C-101B-9397-08002B2CF9AE}" pid="4" name="ICV">
    <vt:lpwstr>19CE53C339074E4B9798C5F487F0F1C3_12</vt:lpwstr>
  </property>
</Properties>
</file>