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C75C8" w:rsidRPr="00352B9F" w:rsidRDefault="00DC75C8" w:rsidP="00DC75C8">
      <w:pPr>
        <w:adjustRightInd w:val="0"/>
        <w:snapToGrid w:val="0"/>
        <w:spacing w:line="440" w:lineRule="exact"/>
        <w:ind w:firstLineChars="200" w:firstLine="640"/>
        <w:jc w:val="center"/>
        <w:rPr>
          <w:rFonts w:ascii="黑体" w:eastAsia="黑体" w:hAnsi="黑体"/>
          <w:bCs/>
          <w:sz w:val="32"/>
          <w:szCs w:val="32"/>
        </w:rPr>
      </w:pPr>
      <w:r w:rsidRPr="00352B9F">
        <w:rPr>
          <w:rFonts w:ascii="黑体" w:eastAsia="黑体" w:hAnsi="黑体" w:hint="eastAsia"/>
          <w:bCs/>
          <w:sz w:val="32"/>
          <w:szCs w:val="32"/>
        </w:rPr>
        <w:t>二〇一</w:t>
      </w:r>
      <w:r w:rsidR="004842DB">
        <w:rPr>
          <w:rFonts w:ascii="黑体" w:eastAsia="黑体" w:hAnsi="黑体" w:hint="eastAsia"/>
          <w:bCs/>
          <w:sz w:val="32"/>
          <w:szCs w:val="32"/>
        </w:rPr>
        <w:t>九</w:t>
      </w:r>
      <w:r w:rsidRPr="00352B9F">
        <w:rPr>
          <w:rFonts w:ascii="黑体" w:eastAsia="黑体" w:hAnsi="黑体" w:hint="eastAsia"/>
          <w:bCs/>
          <w:sz w:val="32"/>
          <w:szCs w:val="32"/>
        </w:rPr>
        <w:t>年</w:t>
      </w:r>
    </w:p>
    <w:p w:rsidR="00DC75C8" w:rsidRPr="00352B9F" w:rsidRDefault="00DC75C8" w:rsidP="00DC75C8">
      <w:pPr>
        <w:adjustRightInd w:val="0"/>
        <w:snapToGrid w:val="0"/>
        <w:spacing w:line="440" w:lineRule="exact"/>
        <w:ind w:firstLineChars="200" w:firstLine="720"/>
        <w:jc w:val="center"/>
        <w:rPr>
          <w:rFonts w:ascii="黑体" w:eastAsia="黑体" w:hAnsi="黑体"/>
          <w:bCs/>
          <w:sz w:val="36"/>
          <w:szCs w:val="36"/>
        </w:rPr>
      </w:pPr>
      <w:r w:rsidRPr="00352B9F">
        <w:rPr>
          <w:rFonts w:ascii="黑体" w:eastAsia="黑体" w:hAnsi="黑体" w:hint="eastAsia"/>
          <w:bCs/>
          <w:sz w:val="36"/>
          <w:szCs w:val="36"/>
        </w:rPr>
        <w:t>张家港市环境质量状况公报</w:t>
      </w:r>
    </w:p>
    <w:p w:rsidR="00ED5BCA" w:rsidRDefault="00ED5BCA" w:rsidP="004842DB">
      <w:pPr>
        <w:adjustRightInd w:val="0"/>
        <w:snapToGrid w:val="0"/>
        <w:spacing w:line="440" w:lineRule="exact"/>
        <w:ind w:firstLineChars="200" w:firstLine="560"/>
        <w:rPr>
          <w:rFonts w:ascii="黑体" w:eastAsia="黑体" w:hAnsi="黑体"/>
          <w:snapToGrid w:val="0"/>
          <w:kern w:val="0"/>
          <w:sz w:val="28"/>
          <w:szCs w:val="28"/>
        </w:rPr>
      </w:pPr>
    </w:p>
    <w:p w:rsidR="004842DB" w:rsidRDefault="004842DB" w:rsidP="004842DB">
      <w:pPr>
        <w:adjustRightInd w:val="0"/>
        <w:snapToGrid w:val="0"/>
        <w:spacing w:line="440" w:lineRule="exact"/>
        <w:ind w:firstLineChars="200" w:firstLine="560"/>
        <w:rPr>
          <w:rFonts w:ascii="黑体" w:eastAsia="黑体" w:hAnsi="黑体"/>
          <w:snapToGrid w:val="0"/>
          <w:kern w:val="0"/>
          <w:sz w:val="28"/>
          <w:szCs w:val="28"/>
        </w:rPr>
      </w:pPr>
      <w:r>
        <w:rPr>
          <w:rFonts w:ascii="黑体" w:eastAsia="黑体" w:hAnsi="黑体" w:hint="eastAsia"/>
          <w:snapToGrid w:val="0"/>
          <w:kern w:val="0"/>
          <w:sz w:val="28"/>
          <w:szCs w:val="28"/>
        </w:rPr>
        <w:t>一、环境空气</w:t>
      </w:r>
      <w:r w:rsidRPr="00352B9F">
        <w:rPr>
          <w:rFonts w:ascii="黑体" w:eastAsia="黑体" w:hAnsi="黑体" w:hint="eastAsia"/>
          <w:bCs/>
          <w:sz w:val="28"/>
          <w:szCs w:val="28"/>
        </w:rPr>
        <w:t>质量</w:t>
      </w:r>
    </w:p>
    <w:p w:rsidR="00D7298E" w:rsidRDefault="004842DB" w:rsidP="004842DB">
      <w:pPr>
        <w:autoSpaceDE w:val="0"/>
        <w:autoSpaceDN w:val="0"/>
        <w:adjustRightInd w:val="0"/>
        <w:snapToGrid w:val="0"/>
        <w:spacing w:line="440" w:lineRule="exact"/>
        <w:ind w:firstLine="525"/>
        <w:jc w:val="left"/>
        <w:rPr>
          <w:rFonts w:eastAsia="仿宋" w:hAnsi="仿宋"/>
          <w:sz w:val="28"/>
          <w:szCs w:val="28"/>
        </w:rPr>
      </w:pPr>
      <w:r w:rsidRPr="00B370D8">
        <w:rPr>
          <w:rFonts w:eastAsia="仿宋" w:hAnsi="仿宋"/>
          <w:sz w:val="28"/>
          <w:szCs w:val="28"/>
        </w:rPr>
        <w:t>2019</w:t>
      </w:r>
      <w:r w:rsidRPr="00B370D8">
        <w:rPr>
          <w:rFonts w:eastAsia="仿宋" w:hAnsi="仿宋" w:hint="eastAsia"/>
          <w:sz w:val="28"/>
          <w:szCs w:val="28"/>
        </w:rPr>
        <w:t>年，城区空气质量二</w:t>
      </w:r>
      <w:r w:rsidRPr="00B370D8">
        <w:rPr>
          <w:rFonts w:eastAsia="仿宋" w:hint="eastAsia"/>
          <w:sz w:val="28"/>
        </w:rPr>
        <w:t>氧化硫、二氧化氮、可吸入颗粒物和一氧化碳均达标</w:t>
      </w:r>
      <w:r>
        <w:rPr>
          <w:rFonts w:eastAsia="仿宋" w:hint="eastAsia"/>
          <w:sz w:val="28"/>
        </w:rPr>
        <w:t>，</w:t>
      </w:r>
      <w:r w:rsidRPr="00B370D8">
        <w:rPr>
          <w:rFonts w:eastAsia="仿宋" w:hint="eastAsia"/>
          <w:sz w:val="28"/>
        </w:rPr>
        <w:t>臭氧和细颗粒物</w:t>
      </w:r>
      <w:r w:rsidRPr="00B370D8">
        <w:rPr>
          <w:rFonts w:eastAsia="仿宋" w:hAnsi="仿宋" w:hint="eastAsia"/>
          <w:sz w:val="28"/>
          <w:szCs w:val="28"/>
        </w:rPr>
        <w:t>未达标</w:t>
      </w:r>
      <w:r w:rsidR="00D7298E">
        <w:rPr>
          <w:rFonts w:eastAsia="仿宋" w:hAnsi="仿宋" w:hint="eastAsia"/>
          <w:sz w:val="28"/>
          <w:szCs w:val="28"/>
        </w:rPr>
        <w:t>。</w:t>
      </w:r>
    </w:p>
    <w:p w:rsidR="00D7298E" w:rsidRDefault="00D7298E" w:rsidP="00D7298E">
      <w:pPr>
        <w:autoSpaceDE w:val="0"/>
        <w:autoSpaceDN w:val="0"/>
        <w:adjustRightInd w:val="0"/>
        <w:snapToGrid w:val="0"/>
        <w:spacing w:line="360" w:lineRule="auto"/>
        <w:ind w:firstLine="527"/>
        <w:jc w:val="left"/>
        <w:rPr>
          <w:rFonts w:eastAsia="仿宋" w:hAnsi="仿宋"/>
          <w:sz w:val="28"/>
          <w:szCs w:val="28"/>
        </w:rPr>
      </w:pPr>
      <w:r w:rsidRPr="00D7298E">
        <w:rPr>
          <w:rFonts w:hint="eastAsia"/>
          <w:noProof/>
          <w:szCs w:val="28"/>
        </w:rPr>
        <w:drawing>
          <wp:inline distT="0" distB="0" distL="0" distR="0">
            <wp:extent cx="4442113" cy="2417618"/>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446333" cy="2419915"/>
                    </a:xfrm>
                    <a:prstGeom prst="rect">
                      <a:avLst/>
                    </a:prstGeom>
                    <a:noFill/>
                    <a:ln w="9525">
                      <a:noFill/>
                      <a:miter lim="800000"/>
                      <a:headEnd/>
                      <a:tailEnd/>
                    </a:ln>
                  </pic:spPr>
                </pic:pic>
              </a:graphicData>
            </a:graphic>
          </wp:inline>
        </w:drawing>
      </w:r>
    </w:p>
    <w:p w:rsidR="00D7298E" w:rsidRPr="002A7D10" w:rsidRDefault="00736F1D" w:rsidP="00D7298E">
      <w:pPr>
        <w:autoSpaceDE w:val="0"/>
        <w:autoSpaceDN w:val="0"/>
        <w:adjustRightInd w:val="0"/>
        <w:snapToGrid w:val="0"/>
        <w:spacing w:line="440" w:lineRule="exact"/>
        <w:ind w:firstLine="525"/>
        <w:jc w:val="left"/>
        <w:rPr>
          <w:rFonts w:eastAsia="仿宋" w:hAnsi="仿宋"/>
          <w:sz w:val="28"/>
          <w:szCs w:val="28"/>
        </w:rPr>
      </w:pPr>
      <w:r>
        <w:rPr>
          <w:rFonts w:eastAsia="仿宋" w:hAnsi="仿宋" w:hint="eastAsia"/>
          <w:noProof/>
          <w:sz w:val="28"/>
          <w:szCs w:val="28"/>
        </w:rPr>
        <w:drawing>
          <wp:anchor distT="0" distB="0" distL="114300" distR="114300" simplePos="0" relativeHeight="251658240" behindDoc="0" locked="0" layoutInCell="1" allowOverlap="1">
            <wp:simplePos x="0" y="0"/>
            <wp:positionH relativeFrom="column">
              <wp:posOffset>-88265</wp:posOffset>
            </wp:positionH>
            <wp:positionV relativeFrom="paragraph">
              <wp:posOffset>1290320</wp:posOffset>
            </wp:positionV>
            <wp:extent cx="2687320" cy="1758950"/>
            <wp:effectExtent l="0" t="0" r="0" b="0"/>
            <wp:wrapSquare wrapText="bothSides"/>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b="21033"/>
                    <a:stretch>
                      <a:fillRect/>
                    </a:stretch>
                  </pic:blipFill>
                  <pic:spPr bwMode="auto">
                    <a:xfrm>
                      <a:off x="0" y="0"/>
                      <a:ext cx="2687320" cy="1758950"/>
                    </a:xfrm>
                    <a:prstGeom prst="rect">
                      <a:avLst/>
                    </a:prstGeom>
                    <a:noFill/>
                    <a:ln w="9525">
                      <a:noFill/>
                      <a:miter lim="800000"/>
                      <a:headEnd/>
                      <a:tailEnd/>
                    </a:ln>
                  </pic:spPr>
                </pic:pic>
              </a:graphicData>
            </a:graphic>
          </wp:anchor>
        </w:drawing>
      </w:r>
      <w:r>
        <w:rPr>
          <w:rFonts w:eastAsia="仿宋" w:hAnsi="仿宋" w:hint="eastAsia"/>
          <w:noProof/>
          <w:sz w:val="28"/>
          <w:szCs w:val="28"/>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1193165</wp:posOffset>
            </wp:positionV>
            <wp:extent cx="2822575" cy="1856105"/>
            <wp:effectExtent l="19050" t="0" r="0" b="0"/>
            <wp:wrapSquare wrapText="bothSides"/>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822575" cy="1856105"/>
                    </a:xfrm>
                    <a:prstGeom prst="rect">
                      <a:avLst/>
                    </a:prstGeom>
                    <a:noFill/>
                    <a:ln w="9525">
                      <a:noFill/>
                      <a:miter lim="800000"/>
                      <a:headEnd/>
                      <a:tailEnd/>
                    </a:ln>
                  </pic:spPr>
                </pic:pic>
              </a:graphicData>
            </a:graphic>
          </wp:anchor>
        </w:drawing>
      </w:r>
      <w:r w:rsidR="00D7298E" w:rsidRPr="00B370D8">
        <w:rPr>
          <w:rFonts w:eastAsia="仿宋" w:hAnsi="仿宋" w:hint="eastAsia"/>
          <w:sz w:val="28"/>
          <w:szCs w:val="28"/>
        </w:rPr>
        <w:t>全年</w:t>
      </w:r>
      <w:r w:rsidR="00D42CD3">
        <w:rPr>
          <w:rFonts w:eastAsia="仿宋" w:hAnsi="仿宋" w:hint="eastAsia"/>
          <w:sz w:val="28"/>
          <w:szCs w:val="28"/>
        </w:rPr>
        <w:t>优</w:t>
      </w:r>
      <w:r w:rsidR="00D42CD3">
        <w:rPr>
          <w:rFonts w:eastAsia="仿宋" w:hAnsi="仿宋" w:hint="eastAsia"/>
          <w:sz w:val="28"/>
          <w:szCs w:val="28"/>
        </w:rPr>
        <w:t>95</w:t>
      </w:r>
      <w:r w:rsidR="00D42CD3">
        <w:rPr>
          <w:rFonts w:eastAsia="仿宋" w:hAnsi="仿宋" w:hint="eastAsia"/>
          <w:sz w:val="28"/>
          <w:szCs w:val="28"/>
        </w:rPr>
        <w:t>天，良</w:t>
      </w:r>
      <w:r w:rsidR="00D42CD3">
        <w:rPr>
          <w:rFonts w:eastAsia="仿宋" w:hAnsi="仿宋" w:hint="eastAsia"/>
          <w:sz w:val="28"/>
          <w:szCs w:val="28"/>
        </w:rPr>
        <w:t>190</w:t>
      </w:r>
      <w:r w:rsidR="00D42CD3">
        <w:rPr>
          <w:rFonts w:eastAsia="仿宋" w:hAnsi="仿宋" w:hint="eastAsia"/>
          <w:sz w:val="28"/>
          <w:szCs w:val="28"/>
        </w:rPr>
        <w:t>天，</w:t>
      </w:r>
      <w:r w:rsidR="00D7298E" w:rsidRPr="00B370D8">
        <w:rPr>
          <w:rFonts w:eastAsia="仿宋" w:hAnsi="仿宋" w:hint="eastAsia"/>
          <w:sz w:val="28"/>
          <w:szCs w:val="28"/>
        </w:rPr>
        <w:t>优良率为</w:t>
      </w:r>
      <w:r w:rsidR="00D7298E" w:rsidRPr="00B370D8">
        <w:rPr>
          <w:rFonts w:eastAsia="仿宋" w:hAnsi="仿宋" w:hint="eastAsia"/>
          <w:sz w:val="28"/>
          <w:szCs w:val="28"/>
        </w:rPr>
        <w:t>78.3</w:t>
      </w:r>
      <w:r w:rsidR="00D7298E" w:rsidRPr="00B370D8">
        <w:rPr>
          <w:rFonts w:eastAsia="仿宋" w:hAnsi="仿宋"/>
          <w:sz w:val="28"/>
          <w:szCs w:val="28"/>
        </w:rPr>
        <w:t>%</w:t>
      </w:r>
      <w:r w:rsidR="00D7298E" w:rsidRPr="00B370D8">
        <w:rPr>
          <w:rFonts w:eastAsia="仿宋" w:hAnsi="仿宋"/>
          <w:sz w:val="28"/>
          <w:szCs w:val="28"/>
        </w:rPr>
        <w:t>，</w:t>
      </w:r>
      <w:r w:rsidR="00D7298E" w:rsidRPr="00B370D8">
        <w:rPr>
          <w:rFonts w:eastAsia="仿宋" w:hAnsi="仿宋" w:hint="eastAsia"/>
          <w:sz w:val="28"/>
          <w:szCs w:val="28"/>
        </w:rPr>
        <w:t>较上年提高</w:t>
      </w:r>
      <w:r w:rsidR="00D7298E" w:rsidRPr="00B370D8">
        <w:rPr>
          <w:rFonts w:eastAsia="仿宋" w:hAnsi="仿宋" w:hint="eastAsia"/>
          <w:sz w:val="28"/>
          <w:szCs w:val="28"/>
        </w:rPr>
        <w:t>1.9</w:t>
      </w:r>
      <w:r w:rsidR="00D7298E" w:rsidRPr="00B370D8">
        <w:rPr>
          <w:rFonts w:eastAsia="仿宋" w:hAnsi="仿宋" w:hint="eastAsia"/>
          <w:sz w:val="28"/>
          <w:szCs w:val="28"/>
        </w:rPr>
        <w:t>个百分点</w:t>
      </w:r>
      <w:r w:rsidR="00D42CD3">
        <w:rPr>
          <w:rFonts w:eastAsia="仿宋" w:hAnsi="仿宋" w:hint="eastAsia"/>
          <w:sz w:val="28"/>
          <w:szCs w:val="28"/>
        </w:rPr>
        <w:t>。</w:t>
      </w:r>
      <w:r w:rsidR="004842DB" w:rsidRPr="00B370D8">
        <w:rPr>
          <w:rFonts w:eastAsia="仿宋" w:hAnsi="仿宋" w:hint="eastAsia"/>
          <w:sz w:val="28"/>
          <w:szCs w:val="28"/>
        </w:rPr>
        <w:t>环境空气质量综合指数为</w:t>
      </w:r>
      <w:r w:rsidR="004842DB" w:rsidRPr="00B370D8">
        <w:rPr>
          <w:rFonts w:eastAsia="仿宋" w:hAnsi="仿宋" w:hint="eastAsia"/>
          <w:sz w:val="28"/>
          <w:szCs w:val="28"/>
        </w:rPr>
        <w:t>4.65</w:t>
      </w:r>
      <w:r w:rsidR="004842DB" w:rsidRPr="00B370D8">
        <w:rPr>
          <w:rFonts w:eastAsia="仿宋" w:hAnsi="仿宋" w:hint="eastAsia"/>
          <w:sz w:val="28"/>
          <w:szCs w:val="28"/>
        </w:rPr>
        <w:t>，较上年（</w:t>
      </w:r>
      <w:r w:rsidR="004842DB" w:rsidRPr="00B370D8">
        <w:rPr>
          <w:rFonts w:eastAsia="仿宋" w:hAnsi="仿宋" w:hint="eastAsia"/>
          <w:sz w:val="28"/>
          <w:szCs w:val="28"/>
        </w:rPr>
        <w:t>5.17</w:t>
      </w:r>
      <w:r w:rsidR="004842DB" w:rsidRPr="00B370D8">
        <w:rPr>
          <w:rFonts w:eastAsia="仿宋" w:hAnsi="仿宋" w:hint="eastAsia"/>
          <w:sz w:val="28"/>
          <w:szCs w:val="28"/>
        </w:rPr>
        <w:t>）下降</w:t>
      </w:r>
      <w:r w:rsidR="004842DB" w:rsidRPr="00B370D8">
        <w:rPr>
          <w:rFonts w:eastAsia="仿宋" w:hAnsi="仿宋" w:hint="eastAsia"/>
          <w:sz w:val="28"/>
          <w:szCs w:val="28"/>
        </w:rPr>
        <w:t>10.1%</w:t>
      </w:r>
      <w:r w:rsidR="004842DB" w:rsidRPr="00B370D8">
        <w:rPr>
          <w:rFonts w:eastAsia="仿宋" w:hAnsi="仿宋" w:hint="eastAsia"/>
          <w:sz w:val="28"/>
          <w:szCs w:val="28"/>
        </w:rPr>
        <w:t>，空气污染总体有所减轻</w:t>
      </w:r>
      <w:r w:rsidR="004842DB">
        <w:rPr>
          <w:rFonts w:eastAsia="仿宋" w:hAnsi="仿宋" w:hint="eastAsia"/>
          <w:sz w:val="28"/>
          <w:szCs w:val="28"/>
        </w:rPr>
        <w:t>，</w:t>
      </w:r>
      <w:r w:rsidR="004842DB" w:rsidRPr="002A7D10">
        <w:rPr>
          <w:rFonts w:eastAsia="仿宋" w:hAnsi="仿宋" w:hint="eastAsia"/>
          <w:sz w:val="28"/>
          <w:szCs w:val="28"/>
        </w:rPr>
        <w:t>其中细颗粒物（</w:t>
      </w:r>
      <w:r w:rsidR="004842DB" w:rsidRPr="002A7D10">
        <w:rPr>
          <w:rFonts w:eastAsia="仿宋" w:hAnsi="仿宋"/>
          <w:sz w:val="28"/>
          <w:szCs w:val="28"/>
        </w:rPr>
        <w:t>PM</w:t>
      </w:r>
      <w:r w:rsidR="004842DB" w:rsidRPr="0080339B">
        <w:rPr>
          <w:rFonts w:eastAsia="仿宋" w:hAnsi="仿宋"/>
          <w:sz w:val="28"/>
          <w:szCs w:val="28"/>
          <w:vertAlign w:val="subscript"/>
        </w:rPr>
        <w:t>2.5</w:t>
      </w:r>
      <w:r w:rsidR="004842DB" w:rsidRPr="002A7D10">
        <w:rPr>
          <w:rFonts w:eastAsia="仿宋" w:hAnsi="仿宋" w:hint="eastAsia"/>
          <w:sz w:val="28"/>
          <w:szCs w:val="28"/>
        </w:rPr>
        <w:t>）仍为影响</w:t>
      </w:r>
      <w:r w:rsidR="00D7298E">
        <w:rPr>
          <w:rFonts w:eastAsia="仿宋" w:hAnsi="仿宋" w:hint="eastAsia"/>
          <w:sz w:val="28"/>
          <w:szCs w:val="28"/>
        </w:rPr>
        <w:t>我市</w:t>
      </w:r>
      <w:r w:rsidR="004842DB" w:rsidRPr="002A7D10">
        <w:rPr>
          <w:rFonts w:eastAsia="仿宋" w:hAnsi="仿宋" w:hint="eastAsia"/>
          <w:sz w:val="28"/>
          <w:szCs w:val="28"/>
        </w:rPr>
        <w:t>环境空气质量的主要污染物</w:t>
      </w:r>
      <w:r w:rsidR="00D42CD3">
        <w:rPr>
          <w:rFonts w:eastAsia="仿宋" w:hAnsi="仿宋" w:hint="eastAsia"/>
          <w:sz w:val="28"/>
          <w:szCs w:val="28"/>
        </w:rPr>
        <w:t>。</w:t>
      </w:r>
      <w:r w:rsidR="00D7298E" w:rsidRPr="00B370D8">
        <w:rPr>
          <w:rFonts w:eastAsia="仿宋" w:hAnsi="仿宋" w:hint="eastAsia"/>
          <w:sz w:val="28"/>
          <w:szCs w:val="28"/>
        </w:rPr>
        <w:t>城区环境空气质量总体稳中有</w:t>
      </w:r>
      <w:r w:rsidR="00D7298E" w:rsidRPr="002A7D10">
        <w:rPr>
          <w:rFonts w:eastAsia="仿宋" w:hAnsi="仿宋" w:hint="eastAsia"/>
          <w:sz w:val="28"/>
          <w:szCs w:val="28"/>
        </w:rPr>
        <w:t>升。</w:t>
      </w:r>
    </w:p>
    <w:p w:rsidR="004842DB" w:rsidRPr="00B370D8" w:rsidRDefault="004842DB" w:rsidP="004842DB">
      <w:pPr>
        <w:adjustRightInd w:val="0"/>
        <w:snapToGrid w:val="0"/>
        <w:spacing w:line="440" w:lineRule="exact"/>
        <w:ind w:firstLineChars="200" w:firstLine="560"/>
        <w:rPr>
          <w:rFonts w:eastAsia="仿宋" w:hAnsi="仿宋"/>
          <w:sz w:val="28"/>
          <w:szCs w:val="28"/>
        </w:rPr>
      </w:pPr>
      <w:r w:rsidRPr="00B370D8">
        <w:rPr>
          <w:rFonts w:eastAsia="仿宋" w:hAnsi="仿宋"/>
          <w:sz w:val="28"/>
          <w:szCs w:val="28"/>
        </w:rPr>
        <w:t>2019</w:t>
      </w:r>
      <w:r w:rsidRPr="00B370D8">
        <w:rPr>
          <w:rFonts w:eastAsia="仿宋" w:hAnsi="仿宋" w:hint="eastAsia"/>
          <w:sz w:val="28"/>
          <w:szCs w:val="28"/>
        </w:rPr>
        <w:t>年，</w:t>
      </w:r>
      <w:proofErr w:type="gramStart"/>
      <w:r w:rsidRPr="00B370D8">
        <w:rPr>
          <w:rFonts w:eastAsia="仿宋" w:hAnsi="仿宋" w:hint="eastAsia"/>
          <w:sz w:val="28"/>
          <w:szCs w:val="28"/>
        </w:rPr>
        <w:t>降尘年</w:t>
      </w:r>
      <w:proofErr w:type="gramEnd"/>
      <w:r w:rsidRPr="00B370D8">
        <w:rPr>
          <w:rFonts w:eastAsia="仿宋" w:hAnsi="仿宋" w:hint="eastAsia"/>
          <w:sz w:val="28"/>
          <w:szCs w:val="28"/>
        </w:rPr>
        <w:t>均值</w:t>
      </w:r>
      <w:r w:rsidR="00615B30" w:rsidRPr="00BD036E">
        <w:rPr>
          <w:rFonts w:eastAsia="仿宋" w:hint="eastAsia"/>
          <w:sz w:val="28"/>
          <w:szCs w:val="28"/>
        </w:rPr>
        <w:t>为</w:t>
      </w:r>
      <w:r w:rsidR="00615B30" w:rsidRPr="00BD036E">
        <w:rPr>
          <w:rFonts w:eastAsia="仿宋" w:hint="eastAsia"/>
          <w:sz w:val="28"/>
          <w:szCs w:val="28"/>
        </w:rPr>
        <w:t>1.97</w:t>
      </w:r>
      <w:r w:rsidR="00615B30" w:rsidRPr="00BD036E">
        <w:rPr>
          <w:rFonts w:eastAsia="仿宋" w:hint="eastAsia"/>
          <w:sz w:val="28"/>
          <w:szCs w:val="28"/>
        </w:rPr>
        <w:t>吨</w:t>
      </w:r>
      <w:r w:rsidR="00615B30" w:rsidRPr="00BD036E">
        <w:rPr>
          <w:rFonts w:eastAsia="仿宋"/>
          <w:sz w:val="28"/>
          <w:szCs w:val="28"/>
        </w:rPr>
        <w:t>/</w:t>
      </w:r>
      <w:r w:rsidR="00615B30" w:rsidRPr="00BD036E">
        <w:rPr>
          <w:rFonts w:eastAsia="仿宋" w:hint="eastAsia"/>
          <w:sz w:val="28"/>
          <w:szCs w:val="28"/>
        </w:rPr>
        <w:t>（平方公里·月），</w:t>
      </w:r>
      <w:r w:rsidRPr="00B370D8">
        <w:rPr>
          <w:rFonts w:eastAsia="仿宋" w:hAnsi="仿宋" w:hint="eastAsia"/>
          <w:sz w:val="28"/>
          <w:szCs w:val="28"/>
        </w:rPr>
        <w:t>达到</w:t>
      </w:r>
      <w:r w:rsidRPr="00B370D8">
        <w:rPr>
          <w:rFonts w:eastAsia="仿宋" w:hAnsi="仿宋" w:hint="eastAsia"/>
          <w:sz w:val="28"/>
        </w:rPr>
        <w:t>暂行标准</w:t>
      </w:r>
      <w:r w:rsidR="004729DD" w:rsidRPr="00B370D8">
        <w:rPr>
          <w:rFonts w:eastAsia="仿宋" w:hAnsi="仿宋" w:hint="eastAsia"/>
          <w:sz w:val="28"/>
          <w:szCs w:val="28"/>
        </w:rPr>
        <w:t>（</w:t>
      </w:r>
      <w:r w:rsidR="004729DD">
        <w:rPr>
          <w:rFonts w:eastAsia="仿宋" w:hAnsi="仿宋" w:hint="eastAsia"/>
          <w:sz w:val="28"/>
          <w:szCs w:val="28"/>
        </w:rPr>
        <w:t>8</w:t>
      </w:r>
      <w:r w:rsidR="004729DD" w:rsidRPr="00B370D8">
        <w:rPr>
          <w:rFonts w:eastAsia="仿宋" w:hAnsi="仿宋" w:hint="eastAsia"/>
          <w:sz w:val="28"/>
          <w:szCs w:val="28"/>
        </w:rPr>
        <w:t>吨</w:t>
      </w:r>
      <w:r w:rsidR="004729DD" w:rsidRPr="00B370D8">
        <w:rPr>
          <w:rFonts w:eastAsia="仿宋" w:hAnsi="仿宋" w:hint="eastAsia"/>
          <w:sz w:val="28"/>
          <w:szCs w:val="28"/>
        </w:rPr>
        <w:t>/</w:t>
      </w:r>
      <w:r w:rsidR="004729DD" w:rsidRPr="00B370D8">
        <w:rPr>
          <w:rFonts w:eastAsia="仿宋" w:hAnsi="仿宋" w:hint="eastAsia"/>
          <w:sz w:val="28"/>
          <w:szCs w:val="28"/>
        </w:rPr>
        <w:t>平方公里·月）</w:t>
      </w:r>
      <w:r w:rsidRPr="00B370D8">
        <w:rPr>
          <w:rFonts w:eastAsia="仿宋" w:hAnsi="仿宋" w:hint="eastAsia"/>
          <w:sz w:val="28"/>
        </w:rPr>
        <w:t>和</w:t>
      </w:r>
      <w:r w:rsidRPr="00B370D8">
        <w:rPr>
          <w:rFonts w:eastAsia="仿宋" w:hAnsi="仿宋" w:hint="eastAsia"/>
          <w:sz w:val="28"/>
          <w:szCs w:val="28"/>
        </w:rPr>
        <w:t>苏政发〔</w:t>
      </w:r>
      <w:r w:rsidRPr="00B370D8">
        <w:rPr>
          <w:rFonts w:eastAsia="仿宋" w:hAnsi="仿宋" w:hint="eastAsia"/>
          <w:sz w:val="28"/>
          <w:szCs w:val="28"/>
        </w:rPr>
        <w:t>2018</w:t>
      </w:r>
      <w:r w:rsidRPr="00B370D8">
        <w:rPr>
          <w:rFonts w:eastAsia="仿宋" w:hAnsi="仿宋" w:hint="eastAsia"/>
          <w:sz w:val="28"/>
          <w:szCs w:val="28"/>
        </w:rPr>
        <w:t>〕</w:t>
      </w:r>
      <w:r w:rsidRPr="00B370D8">
        <w:rPr>
          <w:rFonts w:eastAsia="仿宋" w:hAnsi="仿宋" w:hint="eastAsia"/>
          <w:sz w:val="28"/>
          <w:szCs w:val="28"/>
        </w:rPr>
        <w:t>122</w:t>
      </w:r>
      <w:r w:rsidRPr="00B370D8">
        <w:rPr>
          <w:rFonts w:eastAsia="仿宋" w:hAnsi="仿宋" w:hint="eastAsia"/>
          <w:sz w:val="28"/>
          <w:szCs w:val="28"/>
        </w:rPr>
        <w:t>号《省政府关于印发江苏省打赢蓝天保卫战三年行动计划实施方案的通知》中降尘的考核要求（</w:t>
      </w:r>
      <w:r w:rsidRPr="00B370D8">
        <w:rPr>
          <w:rFonts w:eastAsia="仿宋" w:hAnsi="仿宋" w:hint="eastAsia"/>
          <w:sz w:val="28"/>
          <w:szCs w:val="28"/>
        </w:rPr>
        <w:t>5</w:t>
      </w:r>
      <w:r w:rsidRPr="00B370D8">
        <w:rPr>
          <w:rFonts w:eastAsia="仿宋" w:hAnsi="仿宋" w:hint="eastAsia"/>
          <w:sz w:val="28"/>
          <w:szCs w:val="28"/>
        </w:rPr>
        <w:t>吨</w:t>
      </w:r>
      <w:r w:rsidRPr="00B370D8">
        <w:rPr>
          <w:rFonts w:eastAsia="仿宋" w:hAnsi="仿宋" w:hint="eastAsia"/>
          <w:sz w:val="28"/>
          <w:szCs w:val="28"/>
        </w:rPr>
        <w:t>/</w:t>
      </w:r>
      <w:r w:rsidRPr="00B370D8">
        <w:rPr>
          <w:rFonts w:eastAsia="仿宋" w:hAnsi="仿宋" w:hint="eastAsia"/>
          <w:sz w:val="28"/>
          <w:szCs w:val="28"/>
        </w:rPr>
        <w:t>平方公里·月）</w:t>
      </w:r>
      <w:r w:rsidR="00656D7F">
        <w:rPr>
          <w:rFonts w:eastAsia="仿宋" w:hAnsi="仿宋" w:hint="eastAsia"/>
          <w:sz w:val="28"/>
          <w:szCs w:val="28"/>
        </w:rPr>
        <w:t>。</w:t>
      </w:r>
      <w:r w:rsidRPr="00B370D8">
        <w:rPr>
          <w:rFonts w:eastAsia="仿宋" w:hAnsi="仿宋" w:hint="eastAsia"/>
          <w:sz w:val="28"/>
          <w:szCs w:val="28"/>
        </w:rPr>
        <w:t>降水</w:t>
      </w:r>
      <w:r w:rsidRPr="00B370D8">
        <w:rPr>
          <w:rFonts w:eastAsia="仿宋" w:hAnsi="仿宋"/>
          <w:sz w:val="28"/>
          <w:szCs w:val="28"/>
        </w:rPr>
        <w:t>pH</w:t>
      </w:r>
      <w:r w:rsidRPr="00B370D8">
        <w:rPr>
          <w:rFonts w:eastAsia="仿宋" w:hAnsi="仿宋" w:hint="eastAsia"/>
          <w:sz w:val="28"/>
          <w:szCs w:val="28"/>
        </w:rPr>
        <w:t>均值为</w:t>
      </w:r>
      <w:r w:rsidRPr="00B370D8">
        <w:rPr>
          <w:rFonts w:eastAsia="仿宋" w:hAnsi="仿宋"/>
          <w:sz w:val="28"/>
          <w:szCs w:val="28"/>
        </w:rPr>
        <w:t>5</w:t>
      </w:r>
      <w:r w:rsidRPr="00B370D8">
        <w:rPr>
          <w:rFonts w:eastAsia="仿宋" w:hAnsi="仿宋" w:hint="eastAsia"/>
          <w:sz w:val="28"/>
          <w:szCs w:val="28"/>
        </w:rPr>
        <w:t>.31</w:t>
      </w:r>
      <w:r w:rsidRPr="00B370D8">
        <w:rPr>
          <w:rFonts w:eastAsia="仿宋" w:hAnsi="仿宋" w:hint="eastAsia"/>
          <w:sz w:val="28"/>
          <w:szCs w:val="28"/>
        </w:rPr>
        <w:t>，酸雨出现频率为</w:t>
      </w:r>
      <w:r w:rsidRPr="00B370D8">
        <w:rPr>
          <w:rFonts w:eastAsia="仿宋" w:hAnsi="仿宋" w:hint="eastAsia"/>
          <w:sz w:val="28"/>
          <w:szCs w:val="28"/>
        </w:rPr>
        <w:t>60.3</w:t>
      </w:r>
      <w:r w:rsidRPr="00B370D8">
        <w:rPr>
          <w:rFonts w:eastAsia="仿宋" w:hAnsi="仿宋"/>
          <w:sz w:val="28"/>
          <w:szCs w:val="28"/>
        </w:rPr>
        <w:t>%</w:t>
      </w:r>
      <w:r w:rsidRPr="00B370D8">
        <w:rPr>
          <w:rFonts w:eastAsia="仿宋" w:hAnsi="仿宋" w:hint="eastAsia"/>
          <w:sz w:val="28"/>
          <w:szCs w:val="28"/>
        </w:rPr>
        <w:t>，较上年有所上升，降水污染仍主要</w:t>
      </w:r>
      <w:proofErr w:type="gramStart"/>
      <w:r w:rsidRPr="00B370D8">
        <w:rPr>
          <w:rFonts w:eastAsia="仿宋" w:hAnsi="仿宋" w:hint="eastAsia"/>
          <w:sz w:val="28"/>
          <w:szCs w:val="28"/>
        </w:rPr>
        <w:t>来自于硫氧化物</w:t>
      </w:r>
      <w:proofErr w:type="gramEnd"/>
      <w:r w:rsidRPr="00B370D8">
        <w:rPr>
          <w:rFonts w:eastAsia="仿宋" w:hAnsi="仿宋" w:hint="eastAsia"/>
          <w:sz w:val="28"/>
          <w:szCs w:val="28"/>
        </w:rPr>
        <w:t>。</w:t>
      </w:r>
    </w:p>
    <w:p w:rsidR="004842DB" w:rsidRDefault="004842DB" w:rsidP="004842DB">
      <w:pPr>
        <w:adjustRightInd w:val="0"/>
        <w:snapToGrid w:val="0"/>
        <w:spacing w:line="440" w:lineRule="exact"/>
        <w:ind w:firstLineChars="200" w:firstLine="560"/>
        <w:rPr>
          <w:rFonts w:ascii="黑体" w:eastAsia="黑体" w:hAnsi="黑体"/>
          <w:snapToGrid w:val="0"/>
          <w:kern w:val="0"/>
          <w:sz w:val="28"/>
          <w:szCs w:val="28"/>
        </w:rPr>
      </w:pPr>
      <w:r>
        <w:rPr>
          <w:rFonts w:ascii="黑体" w:eastAsia="黑体" w:hAnsi="黑体" w:hint="eastAsia"/>
          <w:snapToGrid w:val="0"/>
          <w:kern w:val="0"/>
          <w:sz w:val="28"/>
          <w:szCs w:val="28"/>
        </w:rPr>
        <w:lastRenderedPageBreak/>
        <w:t>二、</w:t>
      </w:r>
      <w:r w:rsidRPr="002A7D10">
        <w:rPr>
          <w:rFonts w:ascii="黑体" w:eastAsia="黑体" w:hAnsi="黑体" w:hint="eastAsia"/>
          <w:snapToGrid w:val="0"/>
          <w:kern w:val="0"/>
          <w:sz w:val="28"/>
          <w:szCs w:val="28"/>
        </w:rPr>
        <w:t>饮用水源地</w:t>
      </w:r>
      <w:r>
        <w:rPr>
          <w:rFonts w:ascii="黑体" w:eastAsia="黑体" w:hAnsi="黑体" w:hint="eastAsia"/>
          <w:snapToGrid w:val="0"/>
          <w:kern w:val="0"/>
          <w:sz w:val="28"/>
          <w:szCs w:val="28"/>
        </w:rPr>
        <w:t>水质</w:t>
      </w:r>
    </w:p>
    <w:p w:rsidR="004842DB" w:rsidRDefault="004842DB" w:rsidP="004842DB">
      <w:pPr>
        <w:adjustRightInd w:val="0"/>
        <w:snapToGrid w:val="0"/>
        <w:spacing w:line="440" w:lineRule="exact"/>
        <w:ind w:firstLineChars="196" w:firstLine="549"/>
        <w:rPr>
          <w:rFonts w:eastAsia="仿宋"/>
          <w:snapToGrid w:val="0"/>
          <w:kern w:val="0"/>
          <w:sz w:val="28"/>
        </w:rPr>
      </w:pPr>
      <w:r>
        <w:rPr>
          <w:rFonts w:eastAsia="仿宋"/>
          <w:snapToGrid w:val="0"/>
          <w:kern w:val="0"/>
          <w:sz w:val="28"/>
        </w:rPr>
        <w:t>201</w:t>
      </w:r>
      <w:r>
        <w:rPr>
          <w:rFonts w:eastAsia="仿宋" w:hint="eastAsia"/>
          <w:snapToGrid w:val="0"/>
          <w:kern w:val="0"/>
          <w:sz w:val="28"/>
        </w:rPr>
        <w:t>9</w:t>
      </w:r>
      <w:r>
        <w:rPr>
          <w:rFonts w:eastAsia="仿宋" w:hint="eastAsia"/>
          <w:snapToGrid w:val="0"/>
          <w:kern w:val="0"/>
          <w:sz w:val="28"/>
        </w:rPr>
        <w:t>年，我市饮用水源地水质达标率为</w:t>
      </w:r>
      <w:r>
        <w:rPr>
          <w:rFonts w:eastAsia="仿宋"/>
          <w:snapToGrid w:val="0"/>
          <w:kern w:val="0"/>
          <w:sz w:val="28"/>
        </w:rPr>
        <w:t>100.0%</w:t>
      </w:r>
      <w:r w:rsidR="00C3707F">
        <w:rPr>
          <w:rFonts w:eastAsia="仿宋" w:hint="eastAsia"/>
          <w:snapToGrid w:val="0"/>
          <w:kern w:val="0"/>
          <w:sz w:val="28"/>
        </w:rPr>
        <w:t>，备用水源地和应急水源地水质</w:t>
      </w:r>
      <w:r>
        <w:rPr>
          <w:rFonts w:eastAsia="仿宋" w:hint="eastAsia"/>
          <w:snapToGrid w:val="0"/>
          <w:kern w:val="0"/>
          <w:sz w:val="28"/>
        </w:rPr>
        <w:t>均达到《地表水环境质量标准》（</w:t>
      </w:r>
      <w:r>
        <w:rPr>
          <w:rFonts w:eastAsia="仿宋"/>
          <w:snapToGrid w:val="0"/>
          <w:kern w:val="0"/>
          <w:sz w:val="28"/>
        </w:rPr>
        <w:t>GB3838-2002</w:t>
      </w:r>
      <w:r>
        <w:rPr>
          <w:rFonts w:eastAsia="仿宋" w:hint="eastAsia"/>
          <w:snapToGrid w:val="0"/>
          <w:kern w:val="0"/>
          <w:sz w:val="28"/>
        </w:rPr>
        <w:t>）表</w:t>
      </w:r>
      <w:r>
        <w:rPr>
          <w:rFonts w:eastAsia="仿宋"/>
          <w:snapToGrid w:val="0"/>
          <w:kern w:val="0"/>
          <w:sz w:val="28"/>
        </w:rPr>
        <w:t xml:space="preserve">1 </w:t>
      </w:r>
      <w:r>
        <w:rPr>
          <w:rFonts w:eastAsia="仿宋" w:hint="eastAsia"/>
          <w:snapToGrid w:val="0"/>
          <w:kern w:val="0"/>
          <w:sz w:val="28"/>
        </w:rPr>
        <w:t>Ⅲ类标准和表</w:t>
      </w:r>
      <w:r>
        <w:rPr>
          <w:rFonts w:eastAsia="仿宋"/>
          <w:snapToGrid w:val="0"/>
          <w:kern w:val="0"/>
          <w:sz w:val="28"/>
        </w:rPr>
        <w:t>2</w:t>
      </w:r>
      <w:r>
        <w:rPr>
          <w:rFonts w:eastAsia="仿宋" w:hint="eastAsia"/>
          <w:snapToGrid w:val="0"/>
          <w:kern w:val="0"/>
          <w:sz w:val="28"/>
        </w:rPr>
        <w:t>、表</w:t>
      </w:r>
      <w:r>
        <w:rPr>
          <w:rFonts w:eastAsia="仿宋"/>
          <w:snapToGrid w:val="0"/>
          <w:kern w:val="0"/>
          <w:sz w:val="28"/>
        </w:rPr>
        <w:t>3</w:t>
      </w:r>
      <w:r>
        <w:rPr>
          <w:rFonts w:eastAsia="仿宋" w:hint="eastAsia"/>
          <w:snapToGrid w:val="0"/>
          <w:kern w:val="0"/>
          <w:sz w:val="28"/>
        </w:rPr>
        <w:t>标准限值，水质状况总体保持良好。</w:t>
      </w:r>
    </w:p>
    <w:p w:rsidR="004842DB" w:rsidRPr="00C3707F" w:rsidRDefault="004842DB" w:rsidP="004842DB">
      <w:pPr>
        <w:adjustRightInd w:val="0"/>
        <w:snapToGrid w:val="0"/>
        <w:spacing w:line="440" w:lineRule="exact"/>
        <w:rPr>
          <w:rFonts w:ascii="黑体" w:eastAsia="黑体" w:hAnsi="黑体"/>
          <w:snapToGrid w:val="0"/>
          <w:kern w:val="0"/>
          <w:sz w:val="28"/>
          <w:szCs w:val="28"/>
        </w:rPr>
      </w:pPr>
    </w:p>
    <w:p w:rsidR="004842DB" w:rsidRPr="004842DB" w:rsidRDefault="004842DB" w:rsidP="004842DB">
      <w:pPr>
        <w:adjustRightInd w:val="0"/>
        <w:snapToGrid w:val="0"/>
        <w:spacing w:line="440" w:lineRule="exact"/>
        <w:ind w:firstLineChars="200" w:firstLine="560"/>
        <w:rPr>
          <w:rFonts w:ascii="黑体" w:eastAsia="黑体" w:hAnsi="黑体"/>
          <w:snapToGrid w:val="0"/>
          <w:kern w:val="0"/>
          <w:sz w:val="28"/>
          <w:szCs w:val="28"/>
        </w:rPr>
      </w:pPr>
      <w:r>
        <w:rPr>
          <w:rFonts w:ascii="黑体" w:eastAsia="黑体" w:hAnsi="黑体" w:hint="eastAsia"/>
          <w:snapToGrid w:val="0"/>
          <w:kern w:val="0"/>
          <w:sz w:val="28"/>
          <w:szCs w:val="28"/>
        </w:rPr>
        <w:t>三、</w:t>
      </w:r>
      <w:r w:rsidRPr="002A7D10">
        <w:rPr>
          <w:rFonts w:ascii="黑体" w:eastAsia="黑体" w:hAnsi="黑体" w:hint="eastAsia"/>
          <w:snapToGrid w:val="0"/>
          <w:kern w:val="0"/>
          <w:sz w:val="28"/>
          <w:szCs w:val="28"/>
        </w:rPr>
        <w:t>地表水</w:t>
      </w:r>
      <w:r>
        <w:rPr>
          <w:rFonts w:ascii="黑体" w:eastAsia="黑体" w:hAnsi="黑体" w:hint="eastAsia"/>
          <w:snapToGrid w:val="0"/>
          <w:kern w:val="0"/>
          <w:sz w:val="28"/>
          <w:szCs w:val="28"/>
        </w:rPr>
        <w:t>质量</w:t>
      </w:r>
    </w:p>
    <w:p w:rsidR="004842DB" w:rsidRDefault="004842DB" w:rsidP="004842DB">
      <w:pPr>
        <w:adjustRightInd w:val="0"/>
        <w:snapToGrid w:val="0"/>
        <w:spacing w:line="440" w:lineRule="exact"/>
        <w:ind w:firstLineChars="200" w:firstLine="560"/>
        <w:rPr>
          <w:rFonts w:eastAsia="仿宋"/>
          <w:snapToGrid w:val="0"/>
          <w:kern w:val="0"/>
          <w:sz w:val="28"/>
        </w:rPr>
      </w:pPr>
      <w:r>
        <w:rPr>
          <w:rFonts w:eastAsia="仿宋"/>
          <w:snapToGrid w:val="0"/>
          <w:kern w:val="0"/>
          <w:sz w:val="28"/>
        </w:rPr>
        <w:t>201</w:t>
      </w:r>
      <w:r>
        <w:rPr>
          <w:rFonts w:eastAsia="仿宋" w:hint="eastAsia"/>
          <w:snapToGrid w:val="0"/>
          <w:kern w:val="0"/>
          <w:sz w:val="28"/>
        </w:rPr>
        <w:t>9</w:t>
      </w:r>
      <w:r>
        <w:rPr>
          <w:rFonts w:eastAsia="仿宋" w:hint="eastAsia"/>
          <w:snapToGrid w:val="0"/>
          <w:kern w:val="0"/>
          <w:sz w:val="28"/>
        </w:rPr>
        <w:t>年，我市地表水环境质量总体为优。</w:t>
      </w:r>
    </w:p>
    <w:p w:rsidR="004842DB" w:rsidRDefault="004842DB" w:rsidP="004842DB">
      <w:pPr>
        <w:adjustRightInd w:val="0"/>
        <w:snapToGrid w:val="0"/>
        <w:spacing w:line="440" w:lineRule="exact"/>
        <w:ind w:firstLineChars="200" w:firstLine="560"/>
        <w:rPr>
          <w:rFonts w:eastAsia="仿宋"/>
          <w:snapToGrid w:val="0"/>
          <w:kern w:val="0"/>
          <w:sz w:val="28"/>
        </w:rPr>
      </w:pPr>
      <w:r>
        <w:rPr>
          <w:rFonts w:eastAsia="仿宋" w:hAnsi="仿宋" w:hint="eastAsia"/>
          <w:sz w:val="28"/>
        </w:rPr>
        <w:t>七条主要河流，</w:t>
      </w:r>
      <w:r>
        <w:rPr>
          <w:rFonts w:eastAsia="仿宋"/>
          <w:sz w:val="28"/>
        </w:rPr>
        <w:t>25</w:t>
      </w:r>
      <w:r>
        <w:rPr>
          <w:rFonts w:eastAsia="仿宋" w:hAnsi="仿宋" w:hint="eastAsia"/>
          <w:sz w:val="28"/>
        </w:rPr>
        <w:t>个断面，达Ⅳ类功能区水质标准的比例为</w:t>
      </w:r>
      <w:r>
        <w:rPr>
          <w:rFonts w:eastAsia="仿宋"/>
          <w:sz w:val="28"/>
        </w:rPr>
        <w:t>100.0%</w:t>
      </w:r>
      <w:r>
        <w:rPr>
          <w:rFonts w:eastAsia="仿宋" w:hAnsi="仿宋" w:hint="eastAsia"/>
          <w:sz w:val="28"/>
        </w:rPr>
        <w:t>，</w:t>
      </w:r>
      <w:r w:rsidR="00880FB8">
        <w:rPr>
          <w:rFonts w:eastAsia="仿宋" w:hAnsi="仿宋" w:hint="eastAsia"/>
          <w:sz w:val="28"/>
        </w:rPr>
        <w:t>达到或优于</w:t>
      </w:r>
      <w:r>
        <w:rPr>
          <w:rFonts w:eastAsia="仿宋" w:hAnsi="仿宋" w:hint="eastAsia"/>
          <w:sz w:val="28"/>
        </w:rPr>
        <w:t>Ⅲ类水质断面比例为</w:t>
      </w:r>
      <w:r>
        <w:rPr>
          <w:rFonts w:eastAsia="仿宋" w:hAnsi="仿宋" w:hint="eastAsia"/>
          <w:sz w:val="28"/>
        </w:rPr>
        <w:t>96</w:t>
      </w:r>
      <w:r>
        <w:rPr>
          <w:rFonts w:eastAsia="仿宋" w:hAnsi="仿宋"/>
          <w:sz w:val="28"/>
        </w:rPr>
        <w:t>.0%</w:t>
      </w:r>
      <w:r>
        <w:rPr>
          <w:rFonts w:eastAsia="仿宋" w:hAnsi="仿宋" w:hint="eastAsia"/>
          <w:sz w:val="28"/>
        </w:rPr>
        <w:t>，较上年提高</w:t>
      </w:r>
      <w:r>
        <w:rPr>
          <w:rFonts w:eastAsia="仿宋" w:hAnsi="仿宋" w:hint="eastAsia"/>
          <w:sz w:val="28"/>
        </w:rPr>
        <w:t>24.0</w:t>
      </w:r>
      <w:r>
        <w:rPr>
          <w:rFonts w:eastAsia="仿宋" w:hAnsi="仿宋" w:hint="eastAsia"/>
          <w:sz w:val="28"/>
        </w:rPr>
        <w:t>个百分点，无劣Ⅴ类水质断面；</w:t>
      </w:r>
      <w:r>
        <w:rPr>
          <w:rFonts w:eastAsia="仿宋" w:hAnsi="仿宋" w:hint="eastAsia"/>
          <w:bCs/>
          <w:sz w:val="28"/>
        </w:rPr>
        <w:t>七条河流均</w:t>
      </w:r>
      <w:r>
        <w:rPr>
          <w:rFonts w:eastAsia="仿宋" w:hint="eastAsia"/>
          <w:color w:val="000000"/>
          <w:sz w:val="28"/>
        </w:rPr>
        <w:t>为</w:t>
      </w:r>
      <w:r>
        <w:rPr>
          <w:rFonts w:ascii="宋体" w:hAnsi="宋体" w:cs="宋体" w:hint="eastAsia"/>
          <w:color w:val="000000"/>
          <w:sz w:val="28"/>
        </w:rPr>
        <w:t>Ⅲ</w:t>
      </w:r>
      <w:r>
        <w:rPr>
          <w:rFonts w:eastAsia="仿宋" w:hint="eastAsia"/>
          <w:color w:val="000000"/>
          <w:sz w:val="28"/>
        </w:rPr>
        <w:t>类水质。</w:t>
      </w:r>
      <w:r>
        <w:rPr>
          <w:rFonts w:eastAsia="仿宋" w:hAnsi="仿宋" w:hint="eastAsia"/>
          <w:sz w:val="28"/>
        </w:rPr>
        <w:t>氨氮污染明显降低，总体</w:t>
      </w:r>
      <w:r w:rsidRPr="00AD532C">
        <w:rPr>
          <w:rFonts w:eastAsia="仿宋" w:hAnsi="仿宋" w:hint="eastAsia"/>
          <w:sz w:val="28"/>
        </w:rPr>
        <w:t>水质</w:t>
      </w:r>
      <w:r w:rsidRPr="00AD532C">
        <w:rPr>
          <w:rFonts w:eastAsia="仿宋" w:hAnsi="仿宋"/>
          <w:sz w:val="28"/>
        </w:rPr>
        <w:t>状况</w:t>
      </w:r>
      <w:r w:rsidRPr="00AD532C">
        <w:rPr>
          <w:rFonts w:eastAsia="仿宋" w:hAnsi="仿宋" w:hint="eastAsia"/>
          <w:sz w:val="28"/>
        </w:rPr>
        <w:t>为</w:t>
      </w:r>
      <w:r>
        <w:rPr>
          <w:rFonts w:eastAsia="仿宋" w:hAnsi="仿宋" w:hint="eastAsia"/>
          <w:sz w:val="28"/>
        </w:rPr>
        <w:t>优</w:t>
      </w:r>
      <w:r w:rsidRPr="00AD532C">
        <w:rPr>
          <w:rFonts w:eastAsia="仿宋" w:hAnsi="仿宋" w:hint="eastAsia"/>
          <w:sz w:val="28"/>
        </w:rPr>
        <w:t>，</w:t>
      </w:r>
      <w:r>
        <w:rPr>
          <w:rFonts w:eastAsia="仿宋" w:hAnsi="仿宋" w:hint="eastAsia"/>
          <w:sz w:val="28"/>
        </w:rPr>
        <w:t>较上年（</w:t>
      </w:r>
      <w:r w:rsidRPr="006F56F7">
        <w:rPr>
          <w:rFonts w:eastAsia="仿宋" w:hAnsi="仿宋" w:hint="eastAsia"/>
          <w:sz w:val="28"/>
        </w:rPr>
        <w:t>轻度污染</w:t>
      </w:r>
      <w:r>
        <w:rPr>
          <w:rFonts w:eastAsia="仿宋" w:hAnsi="仿宋" w:hint="eastAsia"/>
          <w:sz w:val="28"/>
        </w:rPr>
        <w:t>）明显好转。</w:t>
      </w:r>
    </w:p>
    <w:p w:rsidR="004842DB" w:rsidRDefault="004842DB" w:rsidP="004842DB">
      <w:pPr>
        <w:adjustRightInd w:val="0"/>
        <w:snapToGrid w:val="0"/>
        <w:spacing w:line="440" w:lineRule="exact"/>
        <w:ind w:firstLineChars="200" w:firstLine="560"/>
        <w:rPr>
          <w:rFonts w:eastAsia="仿宋" w:hAnsi="仿宋"/>
          <w:color w:val="000000"/>
          <w:sz w:val="28"/>
        </w:rPr>
      </w:pPr>
      <w:r>
        <w:rPr>
          <w:rFonts w:eastAsia="仿宋" w:hAnsi="仿宋" w:hint="eastAsia"/>
          <w:color w:val="000000"/>
          <w:sz w:val="28"/>
        </w:rPr>
        <w:t>城区四条河道，</w:t>
      </w:r>
      <w:r>
        <w:rPr>
          <w:rFonts w:eastAsia="仿宋"/>
          <w:color w:val="000000"/>
          <w:sz w:val="28"/>
        </w:rPr>
        <w:t>7</w:t>
      </w:r>
      <w:r>
        <w:rPr>
          <w:rFonts w:eastAsia="仿宋" w:hAnsi="仿宋" w:hint="eastAsia"/>
          <w:color w:val="000000"/>
          <w:sz w:val="28"/>
        </w:rPr>
        <w:t>个断面（不包括监视性断面）水质达标率为</w:t>
      </w:r>
      <w:r>
        <w:rPr>
          <w:rFonts w:eastAsia="仿宋"/>
          <w:color w:val="000000"/>
          <w:sz w:val="28"/>
        </w:rPr>
        <w:t>100%</w:t>
      </w:r>
      <w:r>
        <w:rPr>
          <w:rFonts w:eastAsia="仿宋" w:hAnsi="仿宋" w:hint="eastAsia"/>
          <w:color w:val="000000"/>
          <w:sz w:val="28"/>
        </w:rPr>
        <w:t>，</w:t>
      </w:r>
      <w:r w:rsidR="00880FB8">
        <w:rPr>
          <w:rFonts w:eastAsia="仿宋" w:hAnsi="仿宋" w:hint="eastAsia"/>
          <w:color w:val="000000"/>
          <w:sz w:val="28"/>
        </w:rPr>
        <w:t>达到或优于</w:t>
      </w:r>
      <w:r>
        <w:rPr>
          <w:rFonts w:eastAsia="仿宋" w:hAnsi="仿宋" w:hint="eastAsia"/>
          <w:color w:val="000000"/>
          <w:sz w:val="28"/>
        </w:rPr>
        <w:t>Ⅲ类水质断面比例为</w:t>
      </w:r>
      <w:r>
        <w:rPr>
          <w:rFonts w:eastAsia="仿宋" w:hAnsi="仿宋" w:hint="eastAsia"/>
          <w:color w:val="000000"/>
          <w:sz w:val="28"/>
        </w:rPr>
        <w:t>100.0</w:t>
      </w:r>
      <w:r>
        <w:rPr>
          <w:rFonts w:eastAsia="仿宋" w:hAnsi="仿宋"/>
          <w:color w:val="000000"/>
          <w:sz w:val="28"/>
        </w:rPr>
        <w:t>%</w:t>
      </w:r>
      <w:r>
        <w:rPr>
          <w:rFonts w:eastAsia="仿宋" w:hAnsi="仿宋" w:hint="eastAsia"/>
          <w:color w:val="000000"/>
          <w:sz w:val="28"/>
        </w:rPr>
        <w:t>，较上年提高</w:t>
      </w:r>
      <w:r>
        <w:rPr>
          <w:rFonts w:eastAsia="仿宋" w:hAnsi="仿宋" w:hint="eastAsia"/>
          <w:color w:val="000000"/>
          <w:sz w:val="28"/>
        </w:rPr>
        <w:t>42.9</w:t>
      </w:r>
      <w:r>
        <w:rPr>
          <w:rFonts w:eastAsia="仿宋" w:hAnsi="仿宋" w:hint="eastAsia"/>
          <w:color w:val="000000"/>
          <w:sz w:val="28"/>
        </w:rPr>
        <w:t>个百分点，</w:t>
      </w:r>
      <w:r w:rsidRPr="00FF37DD">
        <w:rPr>
          <w:rFonts w:eastAsia="仿宋" w:hAnsi="仿宋" w:hint="eastAsia"/>
          <w:sz w:val="28"/>
        </w:rPr>
        <w:t>城区河道</w:t>
      </w:r>
      <w:r>
        <w:rPr>
          <w:rFonts w:eastAsia="仿宋" w:hAnsi="仿宋" w:hint="eastAsia"/>
          <w:sz w:val="28"/>
        </w:rPr>
        <w:t>总体</w:t>
      </w:r>
      <w:r w:rsidRPr="003037A7">
        <w:rPr>
          <w:rFonts w:eastAsia="仿宋" w:hAnsi="仿宋" w:hint="eastAsia"/>
          <w:color w:val="000000"/>
          <w:sz w:val="28"/>
        </w:rPr>
        <w:t>水质状况</w:t>
      </w:r>
      <w:r>
        <w:rPr>
          <w:rFonts w:eastAsia="仿宋" w:hAnsi="仿宋" w:hint="eastAsia"/>
          <w:color w:val="000000"/>
          <w:sz w:val="28"/>
        </w:rPr>
        <w:t>为优，较上年（轻度污染）明显好转；</w:t>
      </w:r>
    </w:p>
    <w:p w:rsidR="004842DB" w:rsidRDefault="004842DB" w:rsidP="004842DB">
      <w:pPr>
        <w:spacing w:line="440" w:lineRule="exact"/>
        <w:ind w:firstLineChars="196" w:firstLine="549"/>
        <w:rPr>
          <w:rFonts w:eastAsia="仿宋" w:hAnsi="仿宋"/>
          <w:sz w:val="28"/>
        </w:rPr>
      </w:pPr>
      <w:r>
        <w:rPr>
          <w:rFonts w:eastAsia="仿宋" w:hint="eastAsia"/>
          <w:snapToGrid w:val="0"/>
          <w:kern w:val="0"/>
          <w:sz w:val="28"/>
        </w:rPr>
        <w:t>九条自控河流，</w:t>
      </w:r>
      <w:r w:rsidRPr="00C36F38">
        <w:rPr>
          <w:rFonts w:eastAsia="仿宋" w:hAnsi="仿宋" w:hint="eastAsia"/>
          <w:sz w:val="28"/>
        </w:rPr>
        <w:t>11</w:t>
      </w:r>
      <w:r w:rsidRPr="00C36F38">
        <w:rPr>
          <w:rFonts w:eastAsia="仿宋" w:hAnsi="仿宋" w:hint="eastAsia"/>
          <w:sz w:val="28"/>
        </w:rPr>
        <w:t>个断面，</w:t>
      </w:r>
      <w:r w:rsidR="00880FB8">
        <w:rPr>
          <w:rFonts w:eastAsia="仿宋" w:hAnsi="仿宋" w:hint="eastAsia"/>
          <w:sz w:val="28"/>
        </w:rPr>
        <w:t>达到或优于</w:t>
      </w:r>
      <w:r w:rsidR="00880FB8">
        <w:rPr>
          <w:rFonts w:eastAsia="仿宋" w:hAnsi="仿宋" w:hint="eastAsia"/>
          <w:color w:val="000000"/>
          <w:sz w:val="28"/>
        </w:rPr>
        <w:t>Ⅲ类</w:t>
      </w:r>
      <w:r w:rsidRPr="00C36F38">
        <w:rPr>
          <w:rFonts w:eastAsia="仿宋" w:hAnsi="仿宋" w:hint="eastAsia"/>
          <w:sz w:val="28"/>
        </w:rPr>
        <w:t>水质断面比例为</w:t>
      </w:r>
      <w:r>
        <w:rPr>
          <w:rFonts w:eastAsia="仿宋" w:hAnsi="仿宋" w:hint="eastAsia"/>
          <w:sz w:val="28"/>
        </w:rPr>
        <w:t>90.9</w:t>
      </w:r>
      <w:r w:rsidRPr="00C36F38">
        <w:rPr>
          <w:rFonts w:eastAsia="仿宋" w:hAnsi="仿宋" w:hint="eastAsia"/>
          <w:sz w:val="28"/>
        </w:rPr>
        <w:t>%</w:t>
      </w:r>
      <w:r w:rsidRPr="00C36F38">
        <w:rPr>
          <w:rFonts w:eastAsia="仿宋" w:hAnsi="仿宋" w:hint="eastAsia"/>
          <w:sz w:val="28"/>
        </w:rPr>
        <w:t>，劣Ⅴ类水质断面</w:t>
      </w:r>
      <w:r>
        <w:rPr>
          <w:rFonts w:eastAsia="仿宋" w:hAnsi="仿宋" w:hint="eastAsia"/>
          <w:sz w:val="28"/>
        </w:rPr>
        <w:t>比例为</w:t>
      </w:r>
      <w:r>
        <w:rPr>
          <w:rFonts w:eastAsia="仿宋" w:hAnsi="仿宋" w:hint="eastAsia"/>
          <w:sz w:val="28"/>
        </w:rPr>
        <w:t>9.1%</w:t>
      </w:r>
      <w:r w:rsidRPr="00C36F38">
        <w:rPr>
          <w:rFonts w:eastAsia="仿宋" w:hAnsi="仿宋" w:hint="eastAsia"/>
          <w:sz w:val="28"/>
        </w:rPr>
        <w:t>，</w:t>
      </w:r>
      <w:r>
        <w:rPr>
          <w:rFonts w:eastAsia="仿宋" w:hAnsi="仿宋" w:hint="eastAsia"/>
          <w:sz w:val="28"/>
        </w:rPr>
        <w:t>均高于上年；总体水质状况为优，较上年（良好）有所好转。</w:t>
      </w:r>
    </w:p>
    <w:p w:rsidR="009C2033" w:rsidRDefault="009C2033" w:rsidP="009C2033">
      <w:pPr>
        <w:adjustRightInd w:val="0"/>
        <w:snapToGrid w:val="0"/>
        <w:spacing w:line="440" w:lineRule="exact"/>
        <w:ind w:firstLineChars="200" w:firstLine="560"/>
        <w:rPr>
          <w:rFonts w:eastAsia="仿宋" w:hAnsi="仿宋"/>
          <w:sz w:val="28"/>
          <w:szCs w:val="28"/>
        </w:rPr>
      </w:pPr>
      <w:r>
        <w:rPr>
          <w:rFonts w:eastAsia="仿宋"/>
          <w:snapToGrid w:val="0"/>
          <w:kern w:val="0"/>
          <w:sz w:val="28"/>
        </w:rPr>
        <w:t>19</w:t>
      </w:r>
      <w:r>
        <w:rPr>
          <w:rFonts w:eastAsia="仿宋" w:hint="eastAsia"/>
          <w:snapToGrid w:val="0"/>
          <w:kern w:val="0"/>
          <w:sz w:val="28"/>
        </w:rPr>
        <w:t>条入江支流，水质</w:t>
      </w:r>
      <w:r w:rsidR="00880FB8">
        <w:rPr>
          <w:rFonts w:eastAsia="仿宋" w:hint="eastAsia"/>
          <w:snapToGrid w:val="0"/>
          <w:kern w:val="0"/>
          <w:sz w:val="28"/>
        </w:rPr>
        <w:t>达到或</w:t>
      </w:r>
      <w:r>
        <w:rPr>
          <w:rFonts w:eastAsia="仿宋" w:hint="eastAsia"/>
          <w:snapToGrid w:val="0"/>
          <w:kern w:val="0"/>
          <w:sz w:val="28"/>
        </w:rPr>
        <w:t>优于Ⅲ类比例为</w:t>
      </w:r>
      <w:r>
        <w:rPr>
          <w:rFonts w:eastAsia="仿宋" w:hint="eastAsia"/>
          <w:snapToGrid w:val="0"/>
          <w:kern w:val="0"/>
          <w:sz w:val="28"/>
        </w:rPr>
        <w:t>100.0</w:t>
      </w:r>
      <w:r>
        <w:rPr>
          <w:rFonts w:eastAsia="仿宋"/>
          <w:snapToGrid w:val="0"/>
          <w:kern w:val="0"/>
          <w:sz w:val="28"/>
        </w:rPr>
        <w:t>%</w:t>
      </w:r>
      <w:r>
        <w:rPr>
          <w:rFonts w:eastAsia="仿宋" w:hint="eastAsia"/>
          <w:snapToGrid w:val="0"/>
          <w:kern w:val="0"/>
          <w:sz w:val="28"/>
        </w:rPr>
        <w:t>，</w:t>
      </w:r>
      <w:r>
        <w:rPr>
          <w:rFonts w:eastAsia="仿宋" w:hAnsi="仿宋" w:hint="eastAsia"/>
          <w:sz w:val="28"/>
          <w:szCs w:val="28"/>
        </w:rPr>
        <w:t>较上年提高</w:t>
      </w:r>
      <w:r>
        <w:rPr>
          <w:rFonts w:eastAsia="仿宋" w:hAnsi="仿宋" w:hint="eastAsia"/>
          <w:sz w:val="28"/>
          <w:szCs w:val="28"/>
        </w:rPr>
        <w:t>10.5</w:t>
      </w:r>
      <w:r>
        <w:rPr>
          <w:rFonts w:eastAsia="仿宋" w:hAnsi="仿宋" w:hint="eastAsia"/>
          <w:sz w:val="28"/>
          <w:szCs w:val="28"/>
        </w:rPr>
        <w:t>个百分点；总体水质状况为优，较上年（良好）有所好转。</w:t>
      </w:r>
    </w:p>
    <w:p w:rsidR="00C3707F" w:rsidRDefault="00C3707F" w:rsidP="009C2033">
      <w:pPr>
        <w:adjustRightInd w:val="0"/>
        <w:snapToGrid w:val="0"/>
        <w:spacing w:line="440" w:lineRule="exact"/>
        <w:ind w:firstLineChars="200" w:firstLine="560"/>
        <w:rPr>
          <w:rFonts w:eastAsia="仿宋" w:hAnsi="仿宋"/>
          <w:sz w:val="28"/>
          <w:szCs w:val="28"/>
        </w:rPr>
      </w:pPr>
    </w:p>
    <w:p w:rsidR="009C2033" w:rsidRDefault="00FC4BE6" w:rsidP="00FE5C73">
      <w:pPr>
        <w:adjustRightInd w:val="0"/>
        <w:snapToGrid w:val="0"/>
        <w:spacing w:line="360" w:lineRule="auto"/>
        <w:ind w:firstLineChars="200" w:firstLine="420"/>
        <w:rPr>
          <w:szCs w:val="28"/>
        </w:rPr>
      </w:pPr>
      <w:r w:rsidRPr="00FC4BE6">
        <w:rPr>
          <w:noProof/>
          <w:szCs w:val="28"/>
        </w:rPr>
        <w:drawing>
          <wp:inline distT="0" distB="0" distL="0" distR="0">
            <wp:extent cx="4814570" cy="2750185"/>
            <wp:effectExtent l="1905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14570" cy="2750185"/>
                    </a:xfrm>
                    <a:prstGeom prst="rect">
                      <a:avLst/>
                    </a:prstGeom>
                    <a:noFill/>
                    <a:ln w="9525">
                      <a:noFill/>
                      <a:miter lim="800000"/>
                      <a:headEnd/>
                      <a:tailEnd/>
                    </a:ln>
                  </pic:spPr>
                </pic:pic>
              </a:graphicData>
            </a:graphic>
          </wp:inline>
        </w:drawing>
      </w:r>
    </w:p>
    <w:p w:rsidR="00C3707F" w:rsidRDefault="00C3707F" w:rsidP="004842DB">
      <w:pPr>
        <w:adjustRightInd w:val="0"/>
        <w:snapToGrid w:val="0"/>
        <w:spacing w:line="440" w:lineRule="exact"/>
        <w:ind w:firstLineChars="200" w:firstLine="560"/>
        <w:rPr>
          <w:rFonts w:eastAsia="仿宋" w:hAnsi="仿宋"/>
          <w:color w:val="000000"/>
          <w:sz w:val="28"/>
        </w:rPr>
      </w:pPr>
    </w:p>
    <w:p w:rsidR="004842DB" w:rsidRDefault="004842DB" w:rsidP="004842DB">
      <w:pPr>
        <w:adjustRightInd w:val="0"/>
        <w:snapToGrid w:val="0"/>
        <w:spacing w:line="440" w:lineRule="exact"/>
        <w:ind w:firstLineChars="200" w:firstLine="560"/>
        <w:rPr>
          <w:rFonts w:eastAsia="仿宋"/>
          <w:snapToGrid w:val="0"/>
          <w:kern w:val="0"/>
          <w:sz w:val="28"/>
        </w:rPr>
      </w:pPr>
      <w:r w:rsidRPr="00AD532C">
        <w:rPr>
          <w:rFonts w:eastAsia="仿宋" w:hAnsi="仿宋" w:hint="eastAsia"/>
          <w:color w:val="000000"/>
          <w:sz w:val="28"/>
        </w:rPr>
        <w:t>各类属性的考核或控制断面达标率</w:t>
      </w:r>
      <w:r w:rsidR="00352311">
        <w:rPr>
          <w:rFonts w:eastAsia="仿宋" w:hAnsi="仿宋" w:hint="eastAsia"/>
          <w:color w:val="000000"/>
          <w:sz w:val="28"/>
        </w:rPr>
        <w:t>、</w:t>
      </w:r>
      <w:r w:rsidRPr="00810350">
        <w:rPr>
          <w:rFonts w:eastAsia="仿宋" w:hAnsi="仿宋" w:hint="eastAsia"/>
          <w:kern w:val="0"/>
          <w:sz w:val="28"/>
          <w:szCs w:val="28"/>
        </w:rPr>
        <w:t>达</w:t>
      </w:r>
      <w:r w:rsidR="00352311">
        <w:rPr>
          <w:rFonts w:eastAsia="仿宋" w:hAnsi="仿宋" w:hint="eastAsia"/>
          <w:kern w:val="0"/>
          <w:sz w:val="28"/>
          <w:szCs w:val="28"/>
        </w:rPr>
        <w:t>到或优于</w:t>
      </w:r>
      <w:r w:rsidRPr="00810350">
        <w:rPr>
          <w:rFonts w:eastAsia="仿宋" w:hAnsi="仿宋" w:hint="eastAsia"/>
          <w:kern w:val="0"/>
          <w:sz w:val="28"/>
          <w:szCs w:val="28"/>
        </w:rPr>
        <w:t>III</w:t>
      </w:r>
      <w:r w:rsidR="00352311">
        <w:rPr>
          <w:rFonts w:eastAsia="仿宋" w:hAnsi="仿宋" w:hint="eastAsia"/>
          <w:kern w:val="0"/>
          <w:sz w:val="28"/>
          <w:szCs w:val="28"/>
        </w:rPr>
        <w:t>类水质比例</w:t>
      </w:r>
      <w:r w:rsidRPr="00810350">
        <w:rPr>
          <w:rFonts w:eastAsia="仿宋" w:hAnsi="仿宋" w:hint="eastAsia"/>
          <w:kern w:val="0"/>
          <w:sz w:val="28"/>
          <w:szCs w:val="28"/>
        </w:rPr>
        <w:t>均为</w:t>
      </w:r>
      <w:r w:rsidRPr="00810350">
        <w:rPr>
          <w:rFonts w:eastAsia="仿宋" w:hAnsi="仿宋" w:hint="eastAsia"/>
          <w:kern w:val="0"/>
          <w:sz w:val="28"/>
          <w:szCs w:val="28"/>
        </w:rPr>
        <w:t>100.0%</w:t>
      </w:r>
      <w:r>
        <w:rPr>
          <w:rFonts w:eastAsia="仿宋" w:hAnsi="仿宋" w:hint="eastAsia"/>
          <w:kern w:val="0"/>
          <w:sz w:val="28"/>
          <w:szCs w:val="28"/>
        </w:rPr>
        <w:t>，</w:t>
      </w:r>
      <w:r>
        <w:rPr>
          <w:rFonts w:eastAsia="仿宋"/>
          <w:snapToGrid w:val="0"/>
          <w:kern w:val="0"/>
          <w:sz w:val="28"/>
        </w:rPr>
        <w:t>4</w:t>
      </w:r>
      <w:r>
        <w:rPr>
          <w:rFonts w:eastAsia="仿宋" w:hint="eastAsia"/>
          <w:snapToGrid w:val="0"/>
          <w:kern w:val="0"/>
          <w:sz w:val="28"/>
        </w:rPr>
        <w:t>个省考断面</w:t>
      </w:r>
      <w:r w:rsidR="00352311" w:rsidRPr="00810350">
        <w:rPr>
          <w:rFonts w:eastAsia="仿宋" w:hAnsi="仿宋" w:hint="eastAsia"/>
          <w:kern w:val="0"/>
          <w:sz w:val="28"/>
          <w:szCs w:val="28"/>
        </w:rPr>
        <w:t>达</w:t>
      </w:r>
      <w:r w:rsidR="00352311">
        <w:rPr>
          <w:rFonts w:eastAsia="仿宋" w:hAnsi="仿宋" w:hint="eastAsia"/>
          <w:kern w:val="0"/>
          <w:sz w:val="28"/>
          <w:szCs w:val="28"/>
        </w:rPr>
        <w:t>到或优于</w:t>
      </w:r>
      <w:r w:rsidR="00352311" w:rsidRPr="00810350">
        <w:rPr>
          <w:rFonts w:eastAsia="仿宋" w:hAnsi="仿宋" w:hint="eastAsia"/>
          <w:kern w:val="0"/>
          <w:sz w:val="28"/>
          <w:szCs w:val="28"/>
        </w:rPr>
        <w:t>III</w:t>
      </w:r>
      <w:r w:rsidR="00352311">
        <w:rPr>
          <w:rFonts w:eastAsia="仿宋" w:hAnsi="仿宋" w:hint="eastAsia"/>
          <w:kern w:val="0"/>
          <w:sz w:val="28"/>
          <w:szCs w:val="28"/>
        </w:rPr>
        <w:t>类水质</w:t>
      </w:r>
      <w:r w:rsidR="00352311">
        <w:rPr>
          <w:rFonts w:eastAsia="仿宋" w:hint="eastAsia"/>
          <w:snapToGrid w:val="0"/>
          <w:kern w:val="0"/>
          <w:sz w:val="28"/>
        </w:rPr>
        <w:t>比例</w:t>
      </w:r>
      <w:r>
        <w:rPr>
          <w:rFonts w:eastAsia="仿宋" w:hint="eastAsia"/>
          <w:snapToGrid w:val="0"/>
          <w:kern w:val="0"/>
          <w:sz w:val="28"/>
        </w:rPr>
        <w:t>为</w:t>
      </w:r>
      <w:r>
        <w:rPr>
          <w:rFonts w:eastAsia="仿宋"/>
          <w:snapToGrid w:val="0"/>
          <w:kern w:val="0"/>
          <w:sz w:val="28"/>
        </w:rPr>
        <w:t>100.0%</w:t>
      </w:r>
      <w:r>
        <w:rPr>
          <w:rFonts w:eastAsia="仿宋" w:hint="eastAsia"/>
          <w:snapToGrid w:val="0"/>
          <w:kern w:val="0"/>
          <w:sz w:val="28"/>
        </w:rPr>
        <w:t>，</w:t>
      </w:r>
      <w:r>
        <w:rPr>
          <w:rFonts w:eastAsia="仿宋"/>
          <w:snapToGrid w:val="0"/>
          <w:kern w:val="0"/>
          <w:sz w:val="28"/>
        </w:rPr>
        <w:t>17</w:t>
      </w:r>
      <w:r>
        <w:rPr>
          <w:rFonts w:eastAsia="仿宋" w:hint="eastAsia"/>
          <w:snapToGrid w:val="0"/>
          <w:kern w:val="0"/>
          <w:sz w:val="28"/>
        </w:rPr>
        <w:t>个主要控制（考核）断面</w:t>
      </w:r>
      <w:r w:rsidR="00352311" w:rsidRPr="00810350">
        <w:rPr>
          <w:rFonts w:eastAsia="仿宋" w:hAnsi="仿宋" w:hint="eastAsia"/>
          <w:kern w:val="0"/>
          <w:sz w:val="28"/>
          <w:szCs w:val="28"/>
        </w:rPr>
        <w:t>达</w:t>
      </w:r>
      <w:r w:rsidR="00352311">
        <w:rPr>
          <w:rFonts w:eastAsia="仿宋" w:hAnsi="仿宋" w:hint="eastAsia"/>
          <w:kern w:val="0"/>
          <w:sz w:val="28"/>
          <w:szCs w:val="28"/>
        </w:rPr>
        <w:t>到或优于</w:t>
      </w:r>
      <w:r w:rsidR="00352311" w:rsidRPr="00810350">
        <w:rPr>
          <w:rFonts w:eastAsia="仿宋" w:hAnsi="仿宋" w:hint="eastAsia"/>
          <w:kern w:val="0"/>
          <w:sz w:val="28"/>
          <w:szCs w:val="28"/>
        </w:rPr>
        <w:t>III</w:t>
      </w:r>
      <w:r w:rsidR="00352311">
        <w:rPr>
          <w:rFonts w:eastAsia="仿宋" w:hAnsi="仿宋" w:hint="eastAsia"/>
          <w:kern w:val="0"/>
          <w:sz w:val="28"/>
          <w:szCs w:val="28"/>
        </w:rPr>
        <w:t>类水质</w:t>
      </w:r>
      <w:r>
        <w:rPr>
          <w:rFonts w:eastAsia="仿宋" w:hint="eastAsia"/>
          <w:snapToGrid w:val="0"/>
          <w:kern w:val="0"/>
          <w:sz w:val="28"/>
        </w:rPr>
        <w:t>为</w:t>
      </w:r>
      <w:r>
        <w:rPr>
          <w:rFonts w:eastAsia="仿宋" w:hint="eastAsia"/>
          <w:snapToGrid w:val="0"/>
          <w:kern w:val="0"/>
          <w:sz w:val="28"/>
        </w:rPr>
        <w:t>100.0</w:t>
      </w:r>
      <w:r>
        <w:rPr>
          <w:rFonts w:eastAsia="仿宋"/>
          <w:snapToGrid w:val="0"/>
          <w:kern w:val="0"/>
          <w:sz w:val="28"/>
        </w:rPr>
        <w:t>%</w:t>
      </w:r>
      <w:r>
        <w:rPr>
          <w:rFonts w:eastAsia="仿宋" w:hint="eastAsia"/>
          <w:snapToGrid w:val="0"/>
          <w:kern w:val="0"/>
          <w:sz w:val="28"/>
        </w:rPr>
        <w:t>，较上年提高</w:t>
      </w:r>
      <w:r>
        <w:rPr>
          <w:rFonts w:eastAsia="仿宋" w:hint="eastAsia"/>
          <w:snapToGrid w:val="0"/>
          <w:kern w:val="0"/>
          <w:sz w:val="28"/>
        </w:rPr>
        <w:t>11.8</w:t>
      </w:r>
      <w:r>
        <w:rPr>
          <w:rFonts w:eastAsia="仿宋" w:hint="eastAsia"/>
          <w:snapToGrid w:val="0"/>
          <w:kern w:val="0"/>
          <w:sz w:val="28"/>
        </w:rPr>
        <w:t>个百分点。</w:t>
      </w:r>
    </w:p>
    <w:p w:rsidR="002E6A50" w:rsidRDefault="00067F6A" w:rsidP="00504DBB">
      <w:pPr>
        <w:adjustRightInd w:val="0"/>
        <w:snapToGrid w:val="0"/>
        <w:spacing w:line="360" w:lineRule="auto"/>
        <w:ind w:firstLineChars="200" w:firstLine="420"/>
        <w:jc w:val="center"/>
        <w:rPr>
          <w:rFonts w:eastAsia="仿宋"/>
          <w:snapToGrid w:val="0"/>
          <w:kern w:val="0"/>
          <w:sz w:val="28"/>
        </w:rPr>
      </w:pPr>
      <w:r w:rsidRPr="00067F6A">
        <w:rPr>
          <w:rFonts w:hint="eastAsia"/>
          <w:noProof/>
        </w:rPr>
        <w:drawing>
          <wp:inline distT="0" distB="0" distL="0" distR="0">
            <wp:extent cx="3430732" cy="218787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30732" cy="2189018"/>
                    </a:xfrm>
                    <a:prstGeom prst="rect">
                      <a:avLst/>
                    </a:prstGeom>
                    <a:noFill/>
                    <a:ln w="9525">
                      <a:noFill/>
                      <a:miter lim="800000"/>
                      <a:headEnd/>
                      <a:tailEnd/>
                    </a:ln>
                  </pic:spPr>
                </pic:pic>
              </a:graphicData>
            </a:graphic>
          </wp:inline>
        </w:drawing>
      </w:r>
    </w:p>
    <w:p w:rsidR="004842DB" w:rsidRDefault="00D64C67" w:rsidP="004842DB">
      <w:pPr>
        <w:adjustRightInd w:val="0"/>
        <w:snapToGrid w:val="0"/>
        <w:spacing w:line="440" w:lineRule="exact"/>
        <w:ind w:firstLineChars="200" w:firstLine="560"/>
        <w:rPr>
          <w:rFonts w:eastAsia="仿宋"/>
          <w:sz w:val="28"/>
          <w:szCs w:val="28"/>
        </w:rPr>
      </w:pPr>
      <w:r>
        <w:rPr>
          <w:rFonts w:eastAsia="仿宋" w:hint="eastAsia"/>
          <w:noProof/>
          <w:sz w:val="28"/>
          <w:szCs w:val="28"/>
        </w:rPr>
        <w:drawing>
          <wp:anchor distT="0" distB="0" distL="114300" distR="114300" simplePos="0" relativeHeight="251661312" behindDoc="0" locked="0" layoutInCell="1" allowOverlap="1">
            <wp:simplePos x="0" y="0"/>
            <wp:positionH relativeFrom="column">
              <wp:posOffset>2985770</wp:posOffset>
            </wp:positionH>
            <wp:positionV relativeFrom="paragraph">
              <wp:posOffset>339725</wp:posOffset>
            </wp:positionV>
            <wp:extent cx="2232025" cy="1558290"/>
            <wp:effectExtent l="19050" t="0" r="0" b="0"/>
            <wp:wrapSquare wrapText="bothSides"/>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l="2609" r="3932" b="14358"/>
                    <a:stretch>
                      <a:fillRect/>
                    </a:stretch>
                  </pic:blipFill>
                  <pic:spPr bwMode="auto">
                    <a:xfrm>
                      <a:off x="0" y="0"/>
                      <a:ext cx="2232025" cy="1558290"/>
                    </a:xfrm>
                    <a:prstGeom prst="rect">
                      <a:avLst/>
                    </a:prstGeom>
                    <a:noFill/>
                    <a:ln w="9525">
                      <a:noFill/>
                      <a:miter lim="800000"/>
                      <a:headEnd/>
                      <a:tailEnd/>
                    </a:ln>
                  </pic:spPr>
                </pic:pic>
              </a:graphicData>
            </a:graphic>
          </wp:anchor>
        </w:drawing>
      </w:r>
      <w:r w:rsidR="004842DB">
        <w:rPr>
          <w:rFonts w:eastAsia="仿宋" w:hint="eastAsia"/>
          <w:sz w:val="28"/>
          <w:szCs w:val="28"/>
        </w:rPr>
        <w:t>5</w:t>
      </w:r>
      <w:r w:rsidR="004842DB" w:rsidRPr="009A1F20">
        <w:rPr>
          <w:rFonts w:eastAsia="仿宋" w:hint="eastAsia"/>
          <w:sz w:val="28"/>
          <w:szCs w:val="28"/>
        </w:rPr>
        <w:t>4</w:t>
      </w:r>
      <w:r w:rsidR="004842DB" w:rsidRPr="009A1F20">
        <w:rPr>
          <w:rFonts w:eastAsia="仿宋"/>
          <w:sz w:val="28"/>
          <w:szCs w:val="28"/>
        </w:rPr>
        <w:t>个水质自动站和</w:t>
      </w:r>
      <w:r w:rsidR="004842DB" w:rsidRPr="009A1F20">
        <w:rPr>
          <w:rFonts w:eastAsia="仿宋" w:hint="eastAsia"/>
          <w:sz w:val="28"/>
          <w:szCs w:val="28"/>
        </w:rPr>
        <w:t>2</w:t>
      </w:r>
      <w:r w:rsidR="004842DB" w:rsidRPr="009A1F20">
        <w:rPr>
          <w:rFonts w:eastAsia="仿宋" w:hint="eastAsia"/>
          <w:sz w:val="28"/>
          <w:szCs w:val="28"/>
        </w:rPr>
        <w:t>个浮标站</w:t>
      </w:r>
      <w:r w:rsidR="004842DB">
        <w:rPr>
          <w:rFonts w:eastAsia="仿宋" w:hint="eastAsia"/>
          <w:sz w:val="28"/>
          <w:szCs w:val="28"/>
        </w:rPr>
        <w:t>，仅</w:t>
      </w:r>
      <w:r w:rsidR="004842DB" w:rsidRPr="00F77280">
        <w:rPr>
          <w:rFonts w:eastAsia="仿宋" w:hint="eastAsia"/>
          <w:sz w:val="28"/>
          <w:szCs w:val="28"/>
        </w:rPr>
        <w:t>3</w:t>
      </w:r>
      <w:r w:rsidR="004842DB" w:rsidRPr="00F77280">
        <w:rPr>
          <w:rFonts w:eastAsia="仿宋" w:hint="eastAsia"/>
          <w:sz w:val="28"/>
          <w:szCs w:val="28"/>
        </w:rPr>
        <w:t>个水质自动站水质未达到相应水质要求</w:t>
      </w:r>
      <w:r w:rsidR="004842DB">
        <w:rPr>
          <w:rFonts w:eastAsia="仿宋" w:hint="eastAsia"/>
          <w:sz w:val="28"/>
          <w:szCs w:val="28"/>
        </w:rPr>
        <w:t>；</w:t>
      </w:r>
      <w:r w:rsidR="004842DB">
        <w:rPr>
          <w:rFonts w:eastAsia="仿宋" w:hint="eastAsia"/>
          <w:sz w:val="28"/>
          <w:szCs w:val="28"/>
        </w:rPr>
        <w:t>5</w:t>
      </w:r>
      <w:r w:rsidR="004842DB" w:rsidRPr="009A1F20">
        <w:rPr>
          <w:rFonts w:eastAsia="仿宋" w:hint="eastAsia"/>
          <w:sz w:val="28"/>
          <w:szCs w:val="28"/>
        </w:rPr>
        <w:t>4</w:t>
      </w:r>
      <w:r w:rsidR="004842DB" w:rsidRPr="009A1F20">
        <w:rPr>
          <w:rFonts w:eastAsia="仿宋"/>
          <w:sz w:val="28"/>
          <w:szCs w:val="28"/>
        </w:rPr>
        <w:t>个水质自动站</w:t>
      </w:r>
      <w:r w:rsidR="004842DB">
        <w:rPr>
          <w:rFonts w:eastAsia="仿宋" w:hint="eastAsia"/>
          <w:sz w:val="28"/>
          <w:szCs w:val="28"/>
        </w:rPr>
        <w:t>中，有</w:t>
      </w:r>
      <w:r w:rsidR="004842DB">
        <w:rPr>
          <w:rFonts w:eastAsia="仿宋" w:hint="eastAsia"/>
          <w:sz w:val="28"/>
          <w:szCs w:val="28"/>
        </w:rPr>
        <w:t>15</w:t>
      </w:r>
      <w:r w:rsidR="004842DB">
        <w:rPr>
          <w:rFonts w:eastAsia="仿宋" w:hint="eastAsia"/>
          <w:sz w:val="28"/>
          <w:szCs w:val="28"/>
        </w:rPr>
        <w:t>个水站水质为</w:t>
      </w:r>
      <w:r w:rsidR="004842DB">
        <w:rPr>
          <w:rFonts w:ascii="宋体" w:hAnsi="宋体" w:hint="eastAsia"/>
          <w:sz w:val="28"/>
          <w:szCs w:val="28"/>
        </w:rPr>
        <w:t>Ⅱ</w:t>
      </w:r>
      <w:r w:rsidR="004842DB">
        <w:rPr>
          <w:rFonts w:eastAsia="仿宋" w:hint="eastAsia"/>
          <w:sz w:val="28"/>
          <w:szCs w:val="28"/>
        </w:rPr>
        <w:t>类，</w:t>
      </w:r>
      <w:r w:rsidR="004842DB">
        <w:rPr>
          <w:rFonts w:eastAsia="仿宋" w:hint="eastAsia"/>
          <w:sz w:val="28"/>
          <w:szCs w:val="28"/>
        </w:rPr>
        <w:t>29</w:t>
      </w:r>
      <w:r w:rsidR="004842DB">
        <w:rPr>
          <w:rFonts w:eastAsia="仿宋" w:hint="eastAsia"/>
          <w:sz w:val="28"/>
          <w:szCs w:val="28"/>
        </w:rPr>
        <w:t>个为</w:t>
      </w:r>
      <w:r w:rsidR="004842DB" w:rsidRPr="00F77280">
        <w:rPr>
          <w:rFonts w:eastAsia="仿宋" w:hint="eastAsia"/>
          <w:sz w:val="28"/>
          <w:szCs w:val="28"/>
        </w:rPr>
        <w:t>Ⅲ类</w:t>
      </w:r>
      <w:r w:rsidR="004842DB">
        <w:rPr>
          <w:rFonts w:eastAsia="仿宋" w:hint="eastAsia"/>
          <w:sz w:val="28"/>
          <w:szCs w:val="28"/>
        </w:rPr>
        <w:t>，</w:t>
      </w:r>
      <w:r w:rsidR="003A1ED4" w:rsidRPr="00810350">
        <w:rPr>
          <w:rFonts w:eastAsia="仿宋" w:hAnsi="仿宋" w:hint="eastAsia"/>
          <w:kern w:val="0"/>
          <w:sz w:val="28"/>
          <w:szCs w:val="28"/>
        </w:rPr>
        <w:t>达</w:t>
      </w:r>
      <w:r w:rsidR="003A1ED4">
        <w:rPr>
          <w:rFonts w:eastAsia="仿宋" w:hAnsi="仿宋" w:hint="eastAsia"/>
          <w:kern w:val="0"/>
          <w:sz w:val="28"/>
          <w:szCs w:val="28"/>
        </w:rPr>
        <w:t>到或优于</w:t>
      </w:r>
      <w:r w:rsidR="003A1ED4" w:rsidRPr="00810350">
        <w:rPr>
          <w:rFonts w:eastAsia="仿宋" w:hAnsi="仿宋" w:hint="eastAsia"/>
          <w:kern w:val="0"/>
          <w:sz w:val="28"/>
          <w:szCs w:val="28"/>
        </w:rPr>
        <w:t>III</w:t>
      </w:r>
      <w:r w:rsidR="003A1ED4">
        <w:rPr>
          <w:rFonts w:eastAsia="仿宋" w:hAnsi="仿宋" w:hint="eastAsia"/>
          <w:kern w:val="0"/>
          <w:sz w:val="28"/>
          <w:szCs w:val="28"/>
        </w:rPr>
        <w:t>类水质比例</w:t>
      </w:r>
      <w:r w:rsidR="004842DB">
        <w:rPr>
          <w:rFonts w:eastAsia="仿宋" w:hint="eastAsia"/>
          <w:sz w:val="28"/>
          <w:szCs w:val="28"/>
        </w:rPr>
        <w:t>为</w:t>
      </w:r>
      <w:r w:rsidR="004842DB">
        <w:rPr>
          <w:rFonts w:eastAsia="仿宋" w:hint="eastAsia"/>
          <w:sz w:val="28"/>
          <w:szCs w:val="28"/>
        </w:rPr>
        <w:t>81.5%</w:t>
      </w:r>
      <w:r w:rsidR="004842DB">
        <w:rPr>
          <w:rFonts w:eastAsia="仿宋" w:hint="eastAsia"/>
          <w:sz w:val="28"/>
          <w:szCs w:val="28"/>
        </w:rPr>
        <w:t>。</w:t>
      </w:r>
    </w:p>
    <w:p w:rsidR="004842DB" w:rsidRDefault="004842DB" w:rsidP="00D64C67">
      <w:pPr>
        <w:adjustRightInd w:val="0"/>
        <w:snapToGrid w:val="0"/>
        <w:spacing w:line="360" w:lineRule="auto"/>
        <w:ind w:firstLineChars="200" w:firstLine="560"/>
        <w:jc w:val="center"/>
        <w:rPr>
          <w:rFonts w:ascii="黑体" w:eastAsia="黑体" w:hAnsi="黑体"/>
          <w:snapToGrid w:val="0"/>
          <w:kern w:val="0"/>
          <w:sz w:val="28"/>
          <w:szCs w:val="28"/>
        </w:rPr>
      </w:pPr>
    </w:p>
    <w:p w:rsidR="004842DB" w:rsidRPr="004842DB" w:rsidRDefault="004842DB" w:rsidP="004842DB">
      <w:pPr>
        <w:adjustRightInd w:val="0"/>
        <w:snapToGrid w:val="0"/>
        <w:spacing w:line="440" w:lineRule="exact"/>
        <w:ind w:firstLineChars="200" w:firstLine="560"/>
        <w:rPr>
          <w:rFonts w:ascii="黑体" w:eastAsia="黑体" w:hAnsi="黑体"/>
          <w:snapToGrid w:val="0"/>
          <w:kern w:val="0"/>
          <w:sz w:val="28"/>
          <w:szCs w:val="28"/>
        </w:rPr>
      </w:pPr>
      <w:r>
        <w:rPr>
          <w:rFonts w:ascii="黑体" w:eastAsia="黑体" w:hAnsi="黑体" w:hint="eastAsia"/>
          <w:snapToGrid w:val="0"/>
          <w:kern w:val="0"/>
          <w:sz w:val="28"/>
          <w:szCs w:val="28"/>
        </w:rPr>
        <w:t>四、声环境质量</w:t>
      </w:r>
    </w:p>
    <w:p w:rsidR="004842DB" w:rsidRDefault="004842DB" w:rsidP="004842DB">
      <w:pPr>
        <w:adjustRightInd w:val="0"/>
        <w:snapToGrid w:val="0"/>
        <w:spacing w:line="440" w:lineRule="exact"/>
        <w:ind w:firstLineChars="196" w:firstLine="549"/>
        <w:rPr>
          <w:rFonts w:eastAsia="仿宋"/>
          <w:snapToGrid w:val="0"/>
          <w:kern w:val="0"/>
          <w:sz w:val="28"/>
        </w:rPr>
      </w:pPr>
      <w:r>
        <w:rPr>
          <w:rFonts w:eastAsia="仿宋"/>
          <w:snapToGrid w:val="0"/>
          <w:kern w:val="0"/>
          <w:sz w:val="28"/>
        </w:rPr>
        <w:t>201</w:t>
      </w:r>
      <w:r>
        <w:rPr>
          <w:rFonts w:eastAsia="仿宋" w:hint="eastAsia"/>
          <w:snapToGrid w:val="0"/>
          <w:kern w:val="0"/>
          <w:sz w:val="28"/>
        </w:rPr>
        <w:t>9</w:t>
      </w:r>
      <w:r>
        <w:rPr>
          <w:rFonts w:eastAsia="仿宋" w:hint="eastAsia"/>
          <w:snapToGrid w:val="0"/>
          <w:kern w:val="0"/>
          <w:sz w:val="28"/>
        </w:rPr>
        <w:t>年，张家港市</w:t>
      </w:r>
      <w:proofErr w:type="gramStart"/>
      <w:r>
        <w:rPr>
          <w:rFonts w:eastAsia="仿宋" w:hint="eastAsia"/>
          <w:snapToGrid w:val="0"/>
          <w:kern w:val="0"/>
          <w:sz w:val="28"/>
        </w:rPr>
        <w:t>城区声</w:t>
      </w:r>
      <w:proofErr w:type="gramEnd"/>
      <w:r>
        <w:rPr>
          <w:rFonts w:eastAsia="仿宋" w:hint="eastAsia"/>
          <w:snapToGrid w:val="0"/>
          <w:kern w:val="0"/>
          <w:sz w:val="28"/>
        </w:rPr>
        <w:t>环境质量与上年基本持平。</w:t>
      </w:r>
    </w:p>
    <w:p w:rsidR="00BD62A1" w:rsidRDefault="00D64C67" w:rsidP="00BD62A1">
      <w:pPr>
        <w:adjustRightInd w:val="0"/>
        <w:snapToGrid w:val="0"/>
        <w:spacing w:line="440" w:lineRule="exact"/>
        <w:ind w:firstLine="561"/>
        <w:rPr>
          <w:rFonts w:eastAsia="仿宋" w:hAnsi="仿宋"/>
          <w:sz w:val="28"/>
          <w:szCs w:val="28"/>
        </w:rPr>
      </w:pPr>
      <w:r>
        <w:rPr>
          <w:rFonts w:eastAsia="仿宋" w:hint="eastAsia"/>
          <w:noProof/>
          <w:kern w:val="0"/>
          <w:sz w:val="28"/>
        </w:rPr>
        <w:drawing>
          <wp:anchor distT="0" distB="0" distL="114300" distR="114300" simplePos="0" relativeHeight="251660288" behindDoc="0" locked="0" layoutInCell="1" allowOverlap="1">
            <wp:simplePos x="0" y="0"/>
            <wp:positionH relativeFrom="column">
              <wp:posOffset>2736215</wp:posOffset>
            </wp:positionH>
            <wp:positionV relativeFrom="paragraph">
              <wp:posOffset>677545</wp:posOffset>
            </wp:positionV>
            <wp:extent cx="2639695" cy="1669415"/>
            <wp:effectExtent l="19050" t="0" r="8255" b="0"/>
            <wp:wrapSquare wrapText="bothSides"/>
            <wp:docPr id="12"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842DB">
        <w:rPr>
          <w:rFonts w:eastAsia="仿宋" w:hint="eastAsia"/>
          <w:snapToGrid w:val="0"/>
          <w:kern w:val="0"/>
          <w:sz w:val="28"/>
        </w:rPr>
        <w:t>区域环境噪声</w:t>
      </w:r>
      <w:r w:rsidR="004842DB">
        <w:rPr>
          <w:rFonts w:eastAsia="仿宋" w:hint="eastAsia"/>
          <w:sz w:val="28"/>
          <w:szCs w:val="28"/>
        </w:rPr>
        <w:t>昼间平均</w:t>
      </w:r>
      <w:r w:rsidR="004842DB">
        <w:rPr>
          <w:rFonts w:eastAsia="仿宋" w:hAnsi="仿宋" w:hint="eastAsia"/>
          <w:sz w:val="28"/>
          <w:szCs w:val="28"/>
        </w:rPr>
        <w:t>等效声级为</w:t>
      </w:r>
      <w:r w:rsidR="004842DB">
        <w:rPr>
          <w:rFonts w:eastAsia="仿宋"/>
          <w:sz w:val="28"/>
          <w:szCs w:val="28"/>
        </w:rPr>
        <w:t>54.1</w:t>
      </w:r>
      <w:r w:rsidR="004842DB">
        <w:rPr>
          <w:rFonts w:eastAsia="仿宋" w:hint="eastAsia"/>
          <w:sz w:val="28"/>
          <w:szCs w:val="28"/>
        </w:rPr>
        <w:t>分贝</w:t>
      </w:r>
      <w:r w:rsidR="004842DB">
        <w:rPr>
          <w:rFonts w:eastAsia="仿宋"/>
          <w:sz w:val="28"/>
          <w:szCs w:val="28"/>
        </w:rPr>
        <w:t>(A)</w:t>
      </w:r>
      <w:r w:rsidR="004842DB">
        <w:rPr>
          <w:rFonts w:eastAsia="仿宋" w:hAnsi="仿宋" w:hint="eastAsia"/>
          <w:sz w:val="28"/>
          <w:szCs w:val="28"/>
        </w:rPr>
        <w:t>，区域昼间</w:t>
      </w:r>
      <w:r w:rsidR="004842DB">
        <w:rPr>
          <w:rFonts w:eastAsia="仿宋" w:hint="eastAsia"/>
          <w:snapToGrid w:val="0"/>
          <w:kern w:val="0"/>
          <w:sz w:val="28"/>
        </w:rPr>
        <w:t>环境</w:t>
      </w:r>
      <w:r w:rsidR="004842DB">
        <w:rPr>
          <w:rFonts w:eastAsia="仿宋" w:hAnsi="仿宋" w:hint="eastAsia"/>
          <w:sz w:val="28"/>
          <w:szCs w:val="28"/>
        </w:rPr>
        <w:t>噪声总体水平为二级，区域昼间声环境</w:t>
      </w:r>
      <w:r w:rsidR="004842DB">
        <w:rPr>
          <w:rFonts w:eastAsia="仿宋" w:hint="eastAsia"/>
          <w:sz w:val="28"/>
          <w:szCs w:val="28"/>
        </w:rPr>
        <w:t>质量为较好</w:t>
      </w:r>
      <w:r w:rsidR="004842DB">
        <w:rPr>
          <w:rFonts w:eastAsia="仿宋" w:hAnsi="仿宋" w:hint="eastAsia"/>
          <w:sz w:val="28"/>
          <w:szCs w:val="28"/>
        </w:rPr>
        <w:t>。</w:t>
      </w:r>
      <w:r w:rsidR="00BD62A1">
        <w:rPr>
          <w:rFonts w:eastAsia="仿宋" w:hAnsi="仿宋" w:hint="eastAsia"/>
          <w:sz w:val="28"/>
          <w:szCs w:val="28"/>
        </w:rPr>
        <w:t>社会</w:t>
      </w:r>
      <w:r w:rsidR="00BD62A1" w:rsidRPr="00AC19AA">
        <w:rPr>
          <w:rFonts w:eastAsia="仿宋" w:hAnsi="仿宋"/>
          <w:sz w:val="28"/>
          <w:szCs w:val="28"/>
        </w:rPr>
        <w:t>生活噪声</w:t>
      </w:r>
      <w:r w:rsidR="00BD62A1">
        <w:rPr>
          <w:rFonts w:eastAsia="仿宋" w:hAnsi="仿宋" w:hint="eastAsia"/>
          <w:sz w:val="28"/>
          <w:szCs w:val="28"/>
        </w:rPr>
        <w:t>是影响我市</w:t>
      </w:r>
      <w:proofErr w:type="gramStart"/>
      <w:r w:rsidR="00BD62A1">
        <w:rPr>
          <w:rFonts w:eastAsia="仿宋" w:hAnsi="仿宋" w:hint="eastAsia"/>
          <w:sz w:val="28"/>
          <w:szCs w:val="28"/>
        </w:rPr>
        <w:t>城区声</w:t>
      </w:r>
      <w:proofErr w:type="gramEnd"/>
      <w:r w:rsidR="00BD62A1">
        <w:rPr>
          <w:rFonts w:eastAsia="仿宋" w:hAnsi="仿宋" w:hint="eastAsia"/>
          <w:sz w:val="28"/>
          <w:szCs w:val="28"/>
        </w:rPr>
        <w:t>环境质量的主要污染源，</w:t>
      </w:r>
      <w:r w:rsidR="00BD62A1" w:rsidRPr="00AC19AA">
        <w:rPr>
          <w:rFonts w:eastAsia="仿宋" w:hAnsi="仿宋"/>
          <w:sz w:val="28"/>
          <w:szCs w:val="28"/>
        </w:rPr>
        <w:t>占</w:t>
      </w:r>
      <w:r w:rsidR="00BD62A1" w:rsidRPr="00AC19AA">
        <w:rPr>
          <w:rFonts w:eastAsia="仿宋" w:hAnsi="仿宋"/>
          <w:sz w:val="28"/>
          <w:szCs w:val="28"/>
        </w:rPr>
        <w:t>8</w:t>
      </w:r>
      <w:r w:rsidR="00BD62A1" w:rsidRPr="00AC19AA">
        <w:rPr>
          <w:rFonts w:eastAsia="仿宋" w:hAnsi="仿宋" w:hint="eastAsia"/>
          <w:sz w:val="28"/>
          <w:szCs w:val="28"/>
        </w:rPr>
        <w:t>2.9</w:t>
      </w:r>
      <w:r w:rsidR="00BD62A1" w:rsidRPr="00AC19AA">
        <w:rPr>
          <w:rFonts w:eastAsia="仿宋" w:hAnsi="仿宋"/>
          <w:sz w:val="28"/>
          <w:szCs w:val="28"/>
        </w:rPr>
        <w:t>%</w:t>
      </w:r>
      <w:r w:rsidR="00BD62A1" w:rsidRPr="00AC19AA">
        <w:rPr>
          <w:rFonts w:eastAsia="仿宋" w:hAnsi="仿宋"/>
          <w:sz w:val="28"/>
          <w:szCs w:val="28"/>
        </w:rPr>
        <w:t>，</w:t>
      </w:r>
      <w:r w:rsidR="00BD62A1">
        <w:rPr>
          <w:rFonts w:eastAsia="仿宋" w:hAnsi="仿宋" w:hint="eastAsia"/>
          <w:sz w:val="28"/>
          <w:szCs w:val="28"/>
        </w:rPr>
        <w:t>其次为</w:t>
      </w:r>
      <w:r w:rsidR="00BD62A1" w:rsidRPr="00AC19AA">
        <w:rPr>
          <w:rFonts w:eastAsia="仿宋" w:hAnsi="仿宋"/>
          <w:sz w:val="28"/>
          <w:szCs w:val="28"/>
        </w:rPr>
        <w:t>交通噪声</w:t>
      </w:r>
      <w:r w:rsidR="00BD62A1">
        <w:rPr>
          <w:rFonts w:eastAsia="仿宋" w:hAnsi="仿宋" w:hint="eastAsia"/>
          <w:sz w:val="28"/>
          <w:szCs w:val="28"/>
        </w:rPr>
        <w:t>、</w:t>
      </w:r>
      <w:r w:rsidR="00BD62A1" w:rsidRPr="00AC19AA">
        <w:rPr>
          <w:rFonts w:eastAsia="仿宋" w:hAnsi="仿宋"/>
          <w:sz w:val="28"/>
          <w:szCs w:val="28"/>
        </w:rPr>
        <w:t>工业</w:t>
      </w:r>
      <w:r w:rsidR="00BD62A1">
        <w:rPr>
          <w:rFonts w:eastAsia="仿宋" w:hAnsi="仿宋" w:hint="eastAsia"/>
          <w:sz w:val="28"/>
          <w:szCs w:val="28"/>
        </w:rPr>
        <w:t>噪声和</w:t>
      </w:r>
      <w:r w:rsidR="00BD62A1" w:rsidRPr="00AC19AA">
        <w:rPr>
          <w:rFonts w:eastAsia="仿宋" w:hAnsi="仿宋"/>
          <w:sz w:val="28"/>
          <w:szCs w:val="28"/>
        </w:rPr>
        <w:t>施工噪声。</w:t>
      </w:r>
    </w:p>
    <w:p w:rsidR="004842DB" w:rsidRDefault="004842DB" w:rsidP="004842DB">
      <w:pPr>
        <w:adjustRightInd w:val="0"/>
        <w:snapToGrid w:val="0"/>
        <w:spacing w:line="440" w:lineRule="exact"/>
        <w:ind w:firstLineChars="200" w:firstLine="560"/>
        <w:rPr>
          <w:rFonts w:eastAsia="仿宋" w:hAnsi="仿宋"/>
          <w:sz w:val="28"/>
          <w:szCs w:val="28"/>
        </w:rPr>
      </w:pPr>
      <w:r>
        <w:rPr>
          <w:rFonts w:eastAsia="仿宋" w:hint="eastAsia"/>
          <w:snapToGrid w:val="0"/>
          <w:kern w:val="0"/>
          <w:sz w:val="28"/>
        </w:rPr>
        <w:t>道路交通</w:t>
      </w:r>
      <w:r>
        <w:rPr>
          <w:rFonts w:eastAsia="仿宋" w:hAnsi="仿宋" w:hint="eastAsia"/>
          <w:sz w:val="28"/>
          <w:szCs w:val="28"/>
        </w:rPr>
        <w:t>噪声</w:t>
      </w:r>
      <w:r>
        <w:rPr>
          <w:rFonts w:eastAsia="仿宋" w:hint="eastAsia"/>
          <w:sz w:val="28"/>
          <w:szCs w:val="28"/>
        </w:rPr>
        <w:t>昼间平均</w:t>
      </w:r>
      <w:r>
        <w:rPr>
          <w:rFonts w:eastAsia="仿宋" w:hAnsi="仿宋" w:hint="eastAsia"/>
          <w:sz w:val="28"/>
          <w:szCs w:val="28"/>
        </w:rPr>
        <w:t>等效声级为</w:t>
      </w:r>
      <w:r>
        <w:rPr>
          <w:rFonts w:eastAsia="仿宋"/>
          <w:sz w:val="28"/>
          <w:szCs w:val="28"/>
        </w:rPr>
        <w:t>64.</w:t>
      </w:r>
      <w:r>
        <w:rPr>
          <w:rFonts w:eastAsia="仿宋" w:hint="eastAsia"/>
          <w:sz w:val="28"/>
          <w:szCs w:val="28"/>
        </w:rPr>
        <w:t>6</w:t>
      </w:r>
      <w:r>
        <w:rPr>
          <w:rFonts w:eastAsia="仿宋" w:hint="eastAsia"/>
          <w:sz w:val="28"/>
          <w:szCs w:val="28"/>
        </w:rPr>
        <w:t>分贝</w:t>
      </w:r>
      <w:r>
        <w:rPr>
          <w:rFonts w:eastAsia="仿宋"/>
          <w:sz w:val="28"/>
          <w:szCs w:val="28"/>
        </w:rPr>
        <w:t>(A)</w:t>
      </w:r>
      <w:r>
        <w:rPr>
          <w:rFonts w:eastAsia="仿宋" w:hAnsi="仿宋" w:hint="eastAsia"/>
          <w:sz w:val="28"/>
          <w:szCs w:val="28"/>
        </w:rPr>
        <w:t>，道路交通昼间噪声强度为一级，道路交通昼间声环境质量为好。</w:t>
      </w:r>
    </w:p>
    <w:p w:rsidR="004842DB" w:rsidRPr="00AC19AA" w:rsidRDefault="004842DB" w:rsidP="004842DB">
      <w:pPr>
        <w:adjustRightInd w:val="0"/>
        <w:snapToGrid w:val="0"/>
        <w:spacing w:line="440" w:lineRule="exact"/>
        <w:ind w:firstLineChars="196" w:firstLine="549"/>
        <w:rPr>
          <w:rFonts w:eastAsia="仿宋" w:hAnsi="仿宋"/>
          <w:sz w:val="28"/>
          <w:szCs w:val="28"/>
        </w:rPr>
      </w:pPr>
      <w:r>
        <w:rPr>
          <w:rFonts w:eastAsia="仿宋"/>
          <w:sz w:val="28"/>
          <w:szCs w:val="28"/>
        </w:rPr>
        <w:t>201</w:t>
      </w:r>
      <w:r>
        <w:rPr>
          <w:rFonts w:eastAsia="仿宋" w:hint="eastAsia"/>
          <w:sz w:val="28"/>
          <w:szCs w:val="28"/>
        </w:rPr>
        <w:t>9</w:t>
      </w:r>
      <w:r>
        <w:rPr>
          <w:rFonts w:eastAsia="仿宋" w:hAnsi="仿宋" w:hint="eastAsia"/>
          <w:sz w:val="28"/>
          <w:szCs w:val="28"/>
        </w:rPr>
        <w:t>年，</w:t>
      </w:r>
      <w:r w:rsidRPr="00AC19AA">
        <w:rPr>
          <w:rFonts w:eastAsia="仿宋" w:hint="eastAsia"/>
          <w:sz w:val="28"/>
          <w:szCs w:val="28"/>
        </w:rPr>
        <w:t>2</w:t>
      </w:r>
      <w:r w:rsidRPr="00AC19AA">
        <w:rPr>
          <w:rFonts w:eastAsia="仿宋" w:hAnsi="仿宋"/>
          <w:sz w:val="28"/>
          <w:szCs w:val="28"/>
        </w:rPr>
        <w:t>类</w:t>
      </w:r>
      <w:r w:rsidRPr="00AC19AA">
        <w:rPr>
          <w:rFonts w:eastAsia="仿宋" w:hAnsi="仿宋" w:hint="eastAsia"/>
          <w:sz w:val="28"/>
          <w:szCs w:val="28"/>
        </w:rPr>
        <w:t>、</w:t>
      </w:r>
      <w:r w:rsidRPr="00AC19AA">
        <w:rPr>
          <w:rFonts w:eastAsia="仿宋" w:hAnsi="仿宋" w:hint="eastAsia"/>
          <w:sz w:val="28"/>
          <w:szCs w:val="28"/>
        </w:rPr>
        <w:t>3</w:t>
      </w:r>
      <w:r w:rsidRPr="00AC19AA">
        <w:rPr>
          <w:rFonts w:eastAsia="仿宋" w:hAnsi="仿宋" w:hint="eastAsia"/>
          <w:sz w:val="28"/>
          <w:szCs w:val="28"/>
        </w:rPr>
        <w:t>类声</w:t>
      </w:r>
      <w:r w:rsidRPr="00AC19AA">
        <w:rPr>
          <w:rFonts w:eastAsia="仿宋" w:hAnsi="仿宋"/>
          <w:sz w:val="28"/>
          <w:szCs w:val="28"/>
        </w:rPr>
        <w:t>功能区</w:t>
      </w:r>
      <w:r w:rsidRPr="00AC19AA">
        <w:rPr>
          <w:rFonts w:eastAsia="仿宋" w:hAnsi="仿宋" w:hint="eastAsia"/>
          <w:sz w:val="28"/>
          <w:szCs w:val="28"/>
        </w:rPr>
        <w:t>昼</w:t>
      </w:r>
      <w:r w:rsidRPr="00AC19AA">
        <w:rPr>
          <w:rFonts w:eastAsia="仿宋" w:hAnsi="仿宋"/>
          <w:sz w:val="28"/>
          <w:szCs w:val="28"/>
        </w:rPr>
        <w:t>间</w:t>
      </w:r>
      <w:r w:rsidRPr="00AC19AA">
        <w:rPr>
          <w:rFonts w:eastAsia="仿宋" w:hAnsi="仿宋" w:hint="eastAsia"/>
          <w:sz w:val="28"/>
          <w:szCs w:val="28"/>
        </w:rPr>
        <w:t>和</w:t>
      </w:r>
      <w:r w:rsidRPr="00AC19AA">
        <w:rPr>
          <w:rFonts w:eastAsia="仿宋" w:hAnsi="仿宋"/>
          <w:sz w:val="28"/>
          <w:szCs w:val="28"/>
        </w:rPr>
        <w:t>夜间</w:t>
      </w:r>
      <w:r w:rsidRPr="00AC19AA">
        <w:rPr>
          <w:rFonts w:eastAsia="仿宋" w:hAnsi="仿宋" w:hint="eastAsia"/>
          <w:sz w:val="28"/>
          <w:szCs w:val="28"/>
        </w:rPr>
        <w:t>等效声级</w:t>
      </w:r>
      <w:r w:rsidRPr="00AC19AA">
        <w:rPr>
          <w:rFonts w:eastAsia="仿宋" w:hAnsi="仿宋"/>
          <w:sz w:val="28"/>
          <w:szCs w:val="28"/>
        </w:rPr>
        <w:t>均达到《声环境质量标准》（</w:t>
      </w:r>
      <w:r w:rsidRPr="00AC19AA">
        <w:rPr>
          <w:rFonts w:eastAsia="仿宋"/>
          <w:sz w:val="28"/>
          <w:szCs w:val="28"/>
        </w:rPr>
        <w:t>GB</w:t>
      </w:r>
      <w:r w:rsidRPr="00AC19AA">
        <w:rPr>
          <w:rFonts w:eastAsia="仿宋" w:hint="eastAsia"/>
          <w:sz w:val="28"/>
          <w:szCs w:val="28"/>
        </w:rPr>
        <w:t xml:space="preserve"> </w:t>
      </w:r>
      <w:r w:rsidRPr="00AC19AA">
        <w:rPr>
          <w:rFonts w:eastAsia="仿宋"/>
          <w:sz w:val="28"/>
          <w:szCs w:val="28"/>
        </w:rPr>
        <w:t>3096-2008</w:t>
      </w:r>
      <w:r w:rsidRPr="00AC19AA">
        <w:rPr>
          <w:rFonts w:eastAsia="仿宋" w:hAnsi="仿宋"/>
          <w:sz w:val="28"/>
          <w:szCs w:val="28"/>
        </w:rPr>
        <w:t>）相应功能区标准</w:t>
      </w:r>
      <w:r w:rsidRPr="00AC19AA">
        <w:rPr>
          <w:rFonts w:eastAsia="仿宋" w:hAnsi="仿宋" w:hint="eastAsia"/>
          <w:sz w:val="28"/>
          <w:szCs w:val="28"/>
        </w:rPr>
        <w:t>，达标率均为</w:t>
      </w:r>
      <w:r w:rsidRPr="00AC19AA">
        <w:rPr>
          <w:rFonts w:eastAsia="仿宋" w:hAnsi="仿宋" w:hint="eastAsia"/>
          <w:sz w:val="28"/>
          <w:szCs w:val="28"/>
        </w:rPr>
        <w:t>100%</w:t>
      </w:r>
      <w:r w:rsidRPr="00AC19AA">
        <w:rPr>
          <w:rFonts w:eastAsia="仿宋" w:hAnsi="仿宋" w:hint="eastAsia"/>
          <w:sz w:val="28"/>
          <w:szCs w:val="28"/>
        </w:rPr>
        <w:t>；</w:t>
      </w:r>
      <w:r w:rsidRPr="00AC19AA">
        <w:rPr>
          <w:rFonts w:eastAsia="仿宋" w:hint="eastAsia"/>
          <w:sz w:val="28"/>
          <w:szCs w:val="28"/>
        </w:rPr>
        <w:t>1</w:t>
      </w:r>
      <w:r w:rsidRPr="00AC19AA">
        <w:rPr>
          <w:rFonts w:eastAsia="仿宋" w:hAnsi="仿宋"/>
          <w:sz w:val="28"/>
          <w:szCs w:val="28"/>
        </w:rPr>
        <w:t>类</w:t>
      </w:r>
      <w:r w:rsidRPr="00AC19AA">
        <w:rPr>
          <w:rFonts w:eastAsia="仿宋" w:hAnsi="仿宋" w:hint="eastAsia"/>
          <w:sz w:val="28"/>
          <w:szCs w:val="28"/>
        </w:rPr>
        <w:t>声</w:t>
      </w:r>
      <w:r w:rsidRPr="00AC19AA">
        <w:rPr>
          <w:rFonts w:eastAsia="仿宋" w:hAnsi="仿宋"/>
          <w:sz w:val="28"/>
          <w:szCs w:val="28"/>
        </w:rPr>
        <w:t>功能区</w:t>
      </w:r>
      <w:r w:rsidRPr="00AC19AA">
        <w:rPr>
          <w:rFonts w:eastAsia="仿宋" w:hAnsi="仿宋" w:hint="eastAsia"/>
          <w:sz w:val="28"/>
          <w:szCs w:val="28"/>
        </w:rPr>
        <w:t>昼</w:t>
      </w:r>
      <w:r w:rsidRPr="00AC19AA">
        <w:rPr>
          <w:rFonts w:eastAsia="仿宋" w:hAnsi="仿宋"/>
          <w:sz w:val="28"/>
          <w:szCs w:val="28"/>
        </w:rPr>
        <w:t>间</w:t>
      </w:r>
      <w:r w:rsidRPr="00AC19AA">
        <w:rPr>
          <w:rFonts w:eastAsia="仿宋" w:hAnsi="仿宋" w:hint="eastAsia"/>
          <w:sz w:val="28"/>
          <w:szCs w:val="28"/>
        </w:rPr>
        <w:t>和</w:t>
      </w:r>
      <w:r w:rsidRPr="00AC19AA">
        <w:rPr>
          <w:rFonts w:eastAsia="仿宋" w:hAnsi="仿宋"/>
          <w:sz w:val="28"/>
          <w:szCs w:val="28"/>
        </w:rPr>
        <w:t>夜间</w:t>
      </w:r>
      <w:r w:rsidRPr="00AC19AA">
        <w:rPr>
          <w:rFonts w:eastAsia="仿宋" w:hAnsi="仿宋" w:hint="eastAsia"/>
          <w:sz w:val="28"/>
          <w:szCs w:val="28"/>
        </w:rPr>
        <w:t>达标率分别为</w:t>
      </w:r>
      <w:r w:rsidRPr="00AC19AA">
        <w:rPr>
          <w:rFonts w:eastAsia="仿宋" w:hAnsi="仿宋" w:hint="eastAsia"/>
          <w:sz w:val="28"/>
          <w:szCs w:val="28"/>
        </w:rPr>
        <w:t>87.5%</w:t>
      </w:r>
      <w:r w:rsidRPr="00AC19AA">
        <w:rPr>
          <w:rFonts w:eastAsia="仿宋" w:hAnsi="仿宋" w:hint="eastAsia"/>
          <w:sz w:val="28"/>
          <w:szCs w:val="28"/>
        </w:rPr>
        <w:t>和</w:t>
      </w:r>
      <w:r w:rsidRPr="00AC19AA">
        <w:rPr>
          <w:rFonts w:eastAsia="仿宋" w:hAnsi="仿宋" w:hint="eastAsia"/>
          <w:sz w:val="28"/>
          <w:szCs w:val="28"/>
        </w:rPr>
        <w:t>100%</w:t>
      </w:r>
      <w:r w:rsidRPr="00AC19AA">
        <w:rPr>
          <w:rFonts w:eastAsia="仿宋" w:hAnsi="仿宋" w:hint="eastAsia"/>
          <w:sz w:val="28"/>
          <w:szCs w:val="28"/>
        </w:rPr>
        <w:t>；</w:t>
      </w:r>
      <w:r w:rsidRPr="00AC19AA">
        <w:rPr>
          <w:rFonts w:eastAsia="仿宋"/>
          <w:sz w:val="28"/>
          <w:szCs w:val="28"/>
        </w:rPr>
        <w:t>4</w:t>
      </w:r>
      <w:r w:rsidRPr="00AC19AA">
        <w:rPr>
          <w:rFonts w:eastAsia="仿宋" w:hint="eastAsia"/>
          <w:sz w:val="28"/>
          <w:szCs w:val="28"/>
        </w:rPr>
        <w:t>a</w:t>
      </w:r>
      <w:proofErr w:type="gramStart"/>
      <w:r w:rsidRPr="00AC19AA">
        <w:rPr>
          <w:rFonts w:eastAsia="仿宋" w:hAnsi="仿宋"/>
          <w:sz w:val="28"/>
          <w:szCs w:val="28"/>
        </w:rPr>
        <w:t>类</w:t>
      </w:r>
      <w:r w:rsidRPr="00AC19AA">
        <w:rPr>
          <w:rFonts w:eastAsia="仿宋" w:hAnsi="仿宋" w:hint="eastAsia"/>
          <w:sz w:val="28"/>
          <w:szCs w:val="28"/>
        </w:rPr>
        <w:t>声</w:t>
      </w:r>
      <w:r w:rsidRPr="00AC19AA">
        <w:rPr>
          <w:rFonts w:eastAsia="仿宋" w:hAnsi="仿宋"/>
          <w:sz w:val="28"/>
          <w:szCs w:val="28"/>
        </w:rPr>
        <w:t>功能</w:t>
      </w:r>
      <w:proofErr w:type="gramEnd"/>
      <w:r w:rsidRPr="00AC19AA">
        <w:rPr>
          <w:rFonts w:eastAsia="仿宋" w:hAnsi="仿宋"/>
          <w:sz w:val="28"/>
          <w:szCs w:val="28"/>
        </w:rPr>
        <w:t>区</w:t>
      </w:r>
      <w:r w:rsidRPr="00AC19AA">
        <w:rPr>
          <w:rFonts w:eastAsia="仿宋" w:hAnsi="仿宋" w:hint="eastAsia"/>
          <w:sz w:val="28"/>
          <w:szCs w:val="28"/>
        </w:rPr>
        <w:t>昼</w:t>
      </w:r>
      <w:r w:rsidRPr="00AC19AA">
        <w:rPr>
          <w:rFonts w:eastAsia="仿宋" w:hAnsi="仿宋"/>
          <w:sz w:val="28"/>
          <w:szCs w:val="28"/>
        </w:rPr>
        <w:t>间</w:t>
      </w:r>
      <w:r w:rsidRPr="00AC19AA">
        <w:rPr>
          <w:rFonts w:eastAsia="仿宋" w:hAnsi="仿宋" w:hint="eastAsia"/>
          <w:sz w:val="28"/>
          <w:szCs w:val="28"/>
        </w:rPr>
        <w:t>和</w:t>
      </w:r>
      <w:r w:rsidRPr="00AC19AA">
        <w:rPr>
          <w:rFonts w:eastAsia="仿宋" w:hAnsi="仿宋"/>
          <w:sz w:val="28"/>
          <w:szCs w:val="28"/>
        </w:rPr>
        <w:t>夜间</w:t>
      </w:r>
      <w:r w:rsidRPr="00AC19AA">
        <w:rPr>
          <w:rFonts w:eastAsia="仿宋" w:hAnsi="仿宋" w:hint="eastAsia"/>
          <w:sz w:val="28"/>
          <w:szCs w:val="28"/>
        </w:rPr>
        <w:t>达标率分别为</w:t>
      </w:r>
      <w:r w:rsidRPr="00AC19AA">
        <w:rPr>
          <w:rFonts w:eastAsia="仿宋" w:hAnsi="仿宋" w:hint="eastAsia"/>
          <w:sz w:val="28"/>
          <w:szCs w:val="28"/>
        </w:rPr>
        <w:t>100%</w:t>
      </w:r>
      <w:r w:rsidRPr="00AC19AA">
        <w:rPr>
          <w:rFonts w:eastAsia="仿宋" w:hAnsi="仿宋" w:hint="eastAsia"/>
          <w:sz w:val="28"/>
          <w:szCs w:val="28"/>
        </w:rPr>
        <w:t>和</w:t>
      </w:r>
      <w:r w:rsidRPr="00AC19AA">
        <w:rPr>
          <w:rFonts w:eastAsia="仿宋" w:hAnsi="仿宋" w:hint="eastAsia"/>
          <w:sz w:val="28"/>
          <w:szCs w:val="28"/>
        </w:rPr>
        <w:t>62.5%</w:t>
      </w:r>
      <w:r w:rsidRPr="00AC19AA">
        <w:rPr>
          <w:rFonts w:eastAsia="仿宋" w:hAnsi="仿宋" w:hint="eastAsia"/>
          <w:sz w:val="28"/>
          <w:szCs w:val="28"/>
        </w:rPr>
        <w:t>。</w:t>
      </w:r>
    </w:p>
    <w:p w:rsidR="004842DB" w:rsidRPr="00D64C67" w:rsidRDefault="004842DB" w:rsidP="004842DB">
      <w:pPr>
        <w:adjustRightInd w:val="0"/>
        <w:snapToGrid w:val="0"/>
        <w:spacing w:line="440" w:lineRule="exact"/>
        <w:rPr>
          <w:rFonts w:ascii="黑体" w:eastAsia="黑体" w:hAnsi="黑体"/>
          <w:snapToGrid w:val="0"/>
          <w:kern w:val="0"/>
          <w:sz w:val="28"/>
          <w:szCs w:val="28"/>
        </w:rPr>
      </w:pPr>
    </w:p>
    <w:p w:rsidR="004842DB" w:rsidRPr="004842DB" w:rsidRDefault="004842DB" w:rsidP="004842DB">
      <w:pPr>
        <w:adjustRightInd w:val="0"/>
        <w:snapToGrid w:val="0"/>
        <w:spacing w:line="440" w:lineRule="exact"/>
        <w:ind w:firstLineChars="200" w:firstLine="560"/>
        <w:rPr>
          <w:rFonts w:ascii="黑体" w:eastAsia="黑体" w:hAnsi="黑体"/>
          <w:snapToGrid w:val="0"/>
          <w:kern w:val="0"/>
          <w:sz w:val="28"/>
          <w:szCs w:val="28"/>
        </w:rPr>
      </w:pPr>
      <w:r>
        <w:rPr>
          <w:rFonts w:ascii="黑体" w:eastAsia="黑体" w:hAnsi="黑体" w:hint="eastAsia"/>
          <w:snapToGrid w:val="0"/>
          <w:kern w:val="0"/>
          <w:sz w:val="28"/>
          <w:szCs w:val="28"/>
        </w:rPr>
        <w:t>五、地下水环境质量</w:t>
      </w:r>
    </w:p>
    <w:p w:rsidR="004842DB" w:rsidRDefault="004842DB" w:rsidP="004842DB">
      <w:pPr>
        <w:adjustRightInd w:val="0"/>
        <w:snapToGrid w:val="0"/>
        <w:spacing w:line="440" w:lineRule="exact"/>
        <w:ind w:firstLineChars="196" w:firstLine="549"/>
        <w:rPr>
          <w:rFonts w:eastAsia="仿宋" w:hAnsi="仿宋"/>
          <w:sz w:val="28"/>
          <w:szCs w:val="28"/>
        </w:rPr>
      </w:pPr>
      <w:r>
        <w:rPr>
          <w:rFonts w:eastAsia="仿宋"/>
          <w:sz w:val="28"/>
          <w:szCs w:val="28"/>
        </w:rPr>
        <w:t>201</w:t>
      </w:r>
      <w:r>
        <w:rPr>
          <w:rFonts w:eastAsia="仿宋" w:hint="eastAsia"/>
          <w:sz w:val="28"/>
          <w:szCs w:val="28"/>
        </w:rPr>
        <w:t>9</w:t>
      </w:r>
      <w:r>
        <w:rPr>
          <w:rFonts w:eastAsia="仿宋" w:hAnsi="仿宋" w:hint="eastAsia"/>
          <w:sz w:val="28"/>
          <w:szCs w:val="28"/>
        </w:rPr>
        <w:t>年，张家港市农村、工业、城区</w:t>
      </w:r>
      <w:r>
        <w:rPr>
          <w:rFonts w:eastAsia="仿宋" w:hAnsi="仿宋"/>
          <w:snapToGrid w:val="0"/>
          <w:kern w:val="0"/>
          <w:sz w:val="28"/>
          <w:szCs w:val="28"/>
        </w:rPr>
        <w:t>3</w:t>
      </w:r>
      <w:r>
        <w:rPr>
          <w:rFonts w:eastAsia="仿宋" w:hAnsi="仿宋" w:hint="eastAsia"/>
          <w:snapToGrid w:val="0"/>
          <w:kern w:val="0"/>
          <w:sz w:val="28"/>
          <w:szCs w:val="28"/>
        </w:rPr>
        <w:t>个地下水</w:t>
      </w:r>
      <w:r>
        <w:rPr>
          <w:rFonts w:eastAsia="仿宋" w:hAnsi="仿宋" w:hint="eastAsia"/>
          <w:sz w:val="28"/>
          <w:szCs w:val="28"/>
        </w:rPr>
        <w:t>监测点水质均</w:t>
      </w:r>
      <w:r>
        <w:rPr>
          <w:rFonts w:eastAsia="仿宋" w:hint="eastAsia"/>
          <w:sz w:val="28"/>
          <w:szCs w:val="28"/>
        </w:rPr>
        <w:t>与上年持平，</w:t>
      </w:r>
      <w:r>
        <w:rPr>
          <w:rFonts w:eastAsia="仿宋" w:hAnsi="仿宋" w:hint="eastAsia"/>
          <w:sz w:val="28"/>
          <w:szCs w:val="28"/>
        </w:rPr>
        <w:t>综合类别均为Ⅴ类，定类指标依然主要为细菌学指标总大肠菌群和细菌总数。</w:t>
      </w:r>
    </w:p>
    <w:p w:rsidR="00C9124C" w:rsidRDefault="00C9124C" w:rsidP="004842DB">
      <w:pPr>
        <w:adjustRightInd w:val="0"/>
        <w:snapToGrid w:val="0"/>
        <w:spacing w:line="440" w:lineRule="exact"/>
        <w:ind w:firstLineChars="200" w:firstLine="560"/>
        <w:rPr>
          <w:rFonts w:ascii="黑体" w:eastAsia="黑体" w:hAnsi="黑体"/>
          <w:snapToGrid w:val="0"/>
          <w:kern w:val="0"/>
          <w:sz w:val="28"/>
          <w:szCs w:val="28"/>
        </w:rPr>
      </w:pPr>
    </w:p>
    <w:p w:rsidR="004842DB" w:rsidRPr="004842DB" w:rsidRDefault="004842DB" w:rsidP="004842DB">
      <w:pPr>
        <w:adjustRightInd w:val="0"/>
        <w:snapToGrid w:val="0"/>
        <w:spacing w:line="440" w:lineRule="exact"/>
        <w:ind w:firstLineChars="200" w:firstLine="560"/>
        <w:rPr>
          <w:rFonts w:ascii="黑体" w:eastAsia="黑体" w:hAnsi="黑体"/>
          <w:snapToGrid w:val="0"/>
          <w:kern w:val="0"/>
          <w:sz w:val="28"/>
          <w:szCs w:val="28"/>
        </w:rPr>
      </w:pPr>
      <w:r>
        <w:rPr>
          <w:rFonts w:ascii="黑体" w:eastAsia="黑体" w:hAnsi="黑体" w:hint="eastAsia"/>
          <w:snapToGrid w:val="0"/>
          <w:kern w:val="0"/>
          <w:sz w:val="28"/>
          <w:szCs w:val="28"/>
        </w:rPr>
        <w:t>六、农村环境质量</w:t>
      </w:r>
    </w:p>
    <w:p w:rsidR="004842DB" w:rsidRDefault="004842DB" w:rsidP="004842DB">
      <w:pPr>
        <w:adjustRightInd w:val="0"/>
        <w:snapToGrid w:val="0"/>
        <w:spacing w:line="440" w:lineRule="exact"/>
        <w:ind w:firstLineChars="196" w:firstLine="549"/>
        <w:rPr>
          <w:rFonts w:eastAsia="仿宋" w:hAnsi="仿宋"/>
          <w:sz w:val="28"/>
          <w:szCs w:val="28"/>
        </w:rPr>
      </w:pPr>
      <w:r>
        <w:rPr>
          <w:rFonts w:eastAsia="仿宋" w:hAnsi="仿宋"/>
          <w:snapToGrid w:val="0"/>
          <w:kern w:val="0"/>
          <w:sz w:val="28"/>
          <w:szCs w:val="28"/>
        </w:rPr>
        <w:t>201</w:t>
      </w:r>
      <w:r>
        <w:rPr>
          <w:rFonts w:eastAsia="仿宋" w:hAnsi="仿宋" w:hint="eastAsia"/>
          <w:snapToGrid w:val="0"/>
          <w:kern w:val="0"/>
          <w:sz w:val="28"/>
          <w:szCs w:val="28"/>
        </w:rPr>
        <w:t>9</w:t>
      </w:r>
      <w:r>
        <w:rPr>
          <w:rFonts w:eastAsia="仿宋" w:hAnsi="仿宋" w:hint="eastAsia"/>
          <w:snapToGrid w:val="0"/>
          <w:kern w:val="0"/>
          <w:sz w:val="28"/>
          <w:szCs w:val="28"/>
        </w:rPr>
        <w:t>年，张家港市</w:t>
      </w:r>
      <w:r>
        <w:rPr>
          <w:rFonts w:eastAsia="仿宋" w:hAnsi="仿宋" w:hint="eastAsia"/>
          <w:sz w:val="28"/>
          <w:szCs w:val="28"/>
        </w:rPr>
        <w:t>农村环境质量综合指数为</w:t>
      </w:r>
      <w:r w:rsidR="001451A8">
        <w:rPr>
          <w:rFonts w:eastAsia="仿宋" w:hAnsi="仿宋" w:hint="eastAsia"/>
          <w:sz w:val="28"/>
          <w:szCs w:val="28"/>
        </w:rPr>
        <w:t>76.1</w:t>
      </w:r>
      <w:r>
        <w:rPr>
          <w:rFonts w:eastAsia="仿宋" w:hAnsi="仿宋" w:hint="eastAsia"/>
          <w:sz w:val="28"/>
          <w:szCs w:val="28"/>
        </w:rPr>
        <w:t>，从农村环境质量综合状况分级来看，属于“良”级别，为轻微污染，生态环境良好，基本适合农村居民生活和生产，农村环境质量综合状况较上年无明显变化。</w:t>
      </w:r>
    </w:p>
    <w:p w:rsidR="00F67C6E" w:rsidRPr="00F67C6E" w:rsidRDefault="00351120" w:rsidP="00351120">
      <w:pPr>
        <w:adjustRightInd w:val="0"/>
        <w:snapToGrid w:val="0"/>
        <w:spacing w:line="440" w:lineRule="exact"/>
        <w:ind w:firstLineChars="200" w:firstLine="560"/>
        <w:rPr>
          <w:rFonts w:eastAsia="仿宋" w:hAnsi="仿宋" w:hint="eastAsia"/>
          <w:sz w:val="28"/>
          <w:szCs w:val="28"/>
        </w:rPr>
      </w:pPr>
      <w:r>
        <w:rPr>
          <w:rFonts w:eastAsia="仿宋" w:hAnsi="仿宋" w:hint="eastAsia"/>
          <w:noProof/>
          <w:kern w:val="0"/>
          <w:sz w:val="28"/>
          <w:szCs w:val="28"/>
        </w:rPr>
        <w:drawing>
          <wp:anchor distT="0" distB="0" distL="114300" distR="114300" simplePos="0" relativeHeight="251665408" behindDoc="0" locked="0" layoutInCell="1" allowOverlap="1">
            <wp:simplePos x="0" y="0"/>
            <wp:positionH relativeFrom="column">
              <wp:posOffset>-173355</wp:posOffset>
            </wp:positionH>
            <wp:positionV relativeFrom="paragraph">
              <wp:posOffset>156845</wp:posOffset>
            </wp:positionV>
            <wp:extent cx="3375025" cy="2070735"/>
            <wp:effectExtent l="19050" t="0" r="0" b="0"/>
            <wp:wrapSquare wrapText="bothSides"/>
            <wp:docPr id="2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3375025" cy="2070735"/>
                    </a:xfrm>
                    <a:prstGeom prst="rect">
                      <a:avLst/>
                    </a:prstGeom>
                    <a:noFill/>
                    <a:ln w="9525">
                      <a:noFill/>
                      <a:miter lim="800000"/>
                      <a:headEnd/>
                      <a:tailEnd/>
                    </a:ln>
                  </pic:spPr>
                </pic:pic>
              </a:graphicData>
            </a:graphic>
          </wp:anchor>
        </w:drawing>
      </w:r>
      <w:r w:rsidR="00F67C6E">
        <w:rPr>
          <w:rFonts w:eastAsia="仿宋" w:hAnsi="仿宋" w:hint="eastAsia"/>
          <w:noProof/>
          <w:kern w:val="0"/>
          <w:sz w:val="28"/>
          <w:szCs w:val="28"/>
        </w:rPr>
        <w:drawing>
          <wp:anchor distT="0" distB="0" distL="114300" distR="114300" simplePos="0" relativeHeight="251662336" behindDoc="0" locked="0" layoutInCell="1" allowOverlap="1">
            <wp:simplePos x="0" y="0"/>
            <wp:positionH relativeFrom="column">
              <wp:posOffset>-6985</wp:posOffset>
            </wp:positionH>
            <wp:positionV relativeFrom="paragraph">
              <wp:posOffset>2823845</wp:posOffset>
            </wp:positionV>
            <wp:extent cx="2779395" cy="2307590"/>
            <wp:effectExtent l="19050" t="0" r="1905" b="0"/>
            <wp:wrapSquare wrapText="bothSides"/>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779395" cy="2307590"/>
                    </a:xfrm>
                    <a:prstGeom prst="rect">
                      <a:avLst/>
                    </a:prstGeom>
                    <a:noFill/>
                    <a:ln w="9525">
                      <a:noFill/>
                      <a:miter lim="800000"/>
                      <a:headEnd/>
                      <a:tailEnd/>
                    </a:ln>
                  </pic:spPr>
                </pic:pic>
              </a:graphicData>
            </a:graphic>
          </wp:anchor>
        </w:drawing>
      </w:r>
      <w:r w:rsidR="00F67C6E">
        <w:rPr>
          <w:rFonts w:eastAsia="仿宋" w:hAnsi="仿宋" w:hint="eastAsia"/>
          <w:noProof/>
          <w:kern w:val="0"/>
          <w:sz w:val="28"/>
          <w:szCs w:val="28"/>
        </w:rPr>
        <w:drawing>
          <wp:anchor distT="0" distB="0" distL="114300" distR="114300" simplePos="0" relativeHeight="251664384" behindDoc="0" locked="0" layoutInCell="1" allowOverlap="1">
            <wp:simplePos x="0" y="0"/>
            <wp:positionH relativeFrom="column">
              <wp:posOffset>2895600</wp:posOffset>
            </wp:positionH>
            <wp:positionV relativeFrom="paragraph">
              <wp:posOffset>2726690</wp:posOffset>
            </wp:positionV>
            <wp:extent cx="2460625" cy="2431415"/>
            <wp:effectExtent l="19050" t="0" r="0" b="0"/>
            <wp:wrapSquare wrapText="bothSides"/>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460625" cy="2431415"/>
                    </a:xfrm>
                    <a:prstGeom prst="rect">
                      <a:avLst/>
                    </a:prstGeom>
                    <a:noFill/>
                    <a:ln w="9525">
                      <a:noFill/>
                      <a:miter lim="800000"/>
                      <a:headEnd/>
                      <a:tailEnd/>
                    </a:ln>
                  </pic:spPr>
                </pic:pic>
              </a:graphicData>
            </a:graphic>
          </wp:anchor>
        </w:drawing>
      </w:r>
      <w:r w:rsidR="004842DB">
        <w:rPr>
          <w:rFonts w:eastAsia="仿宋" w:hAnsi="仿宋" w:hint="eastAsia"/>
          <w:snapToGrid w:val="0"/>
          <w:kern w:val="0"/>
          <w:sz w:val="28"/>
          <w:szCs w:val="28"/>
        </w:rPr>
        <w:t>其中农村环境状况指数为</w:t>
      </w:r>
      <w:r w:rsidR="004842DB">
        <w:rPr>
          <w:rFonts w:eastAsia="仿宋" w:hAnsi="仿宋" w:hint="eastAsia"/>
          <w:snapToGrid w:val="0"/>
          <w:kern w:val="0"/>
          <w:sz w:val="28"/>
          <w:szCs w:val="28"/>
        </w:rPr>
        <w:t>85.4</w:t>
      </w:r>
      <w:r w:rsidR="004842DB">
        <w:rPr>
          <w:rFonts w:eastAsia="仿宋" w:hAnsi="仿宋" w:hint="eastAsia"/>
          <w:snapToGrid w:val="0"/>
          <w:kern w:val="0"/>
          <w:sz w:val="28"/>
          <w:szCs w:val="28"/>
        </w:rPr>
        <w:t>，农村环境质量状况为良，</w:t>
      </w:r>
      <w:r w:rsidR="004842DB">
        <w:rPr>
          <w:rFonts w:eastAsia="仿宋" w:hAnsi="仿宋" w:hint="eastAsia"/>
          <w:sz w:val="28"/>
          <w:szCs w:val="28"/>
        </w:rPr>
        <w:t>环境轻微污染，基本适合农村居民生活和生产</w:t>
      </w:r>
      <w:r w:rsidR="004842DB">
        <w:rPr>
          <w:rFonts w:eastAsia="仿宋" w:hAnsi="仿宋" w:hint="eastAsia"/>
          <w:snapToGrid w:val="0"/>
          <w:kern w:val="0"/>
          <w:sz w:val="28"/>
          <w:szCs w:val="28"/>
        </w:rPr>
        <w:t>，农村环境质量</w:t>
      </w:r>
      <w:r w:rsidR="004842DB">
        <w:rPr>
          <w:rFonts w:eastAsia="仿宋" w:hAnsi="仿宋" w:hint="eastAsia"/>
          <w:sz w:val="28"/>
          <w:szCs w:val="28"/>
        </w:rPr>
        <w:t>较上年无明显变化</w:t>
      </w:r>
      <w:r w:rsidR="004842DB">
        <w:rPr>
          <w:rFonts w:eastAsia="仿宋" w:hAnsi="仿宋" w:hint="eastAsia"/>
          <w:snapToGrid w:val="0"/>
          <w:kern w:val="0"/>
          <w:sz w:val="28"/>
          <w:szCs w:val="28"/>
        </w:rPr>
        <w:t>；</w:t>
      </w:r>
      <w:r w:rsidR="004842DB">
        <w:rPr>
          <w:rFonts w:eastAsia="仿宋" w:hAnsi="仿宋" w:hint="eastAsia"/>
          <w:sz w:val="28"/>
          <w:szCs w:val="28"/>
        </w:rPr>
        <w:t>生态状况指数为</w:t>
      </w:r>
      <w:r w:rsidR="004842DB">
        <w:rPr>
          <w:rFonts w:eastAsia="仿宋" w:hAnsi="仿宋" w:hint="eastAsia"/>
          <w:sz w:val="28"/>
          <w:szCs w:val="28"/>
        </w:rPr>
        <w:t>61.8</w:t>
      </w:r>
      <w:r w:rsidR="004842DB">
        <w:rPr>
          <w:rFonts w:eastAsia="仿宋" w:hAnsi="仿宋" w:hint="eastAsia"/>
          <w:sz w:val="28"/>
          <w:szCs w:val="28"/>
        </w:rPr>
        <w:t>，农村生态状况为良，植被覆盖度较高，生物多样性较丰富，适合人类生活，农村生态状况较上年略微变好。</w:t>
      </w:r>
    </w:p>
    <w:sectPr w:rsidR="00F67C6E" w:rsidRPr="00F67C6E" w:rsidSect="004842DB">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77" w:rsidRDefault="00F36B77" w:rsidP="006D619D">
      <w:r>
        <w:separator/>
      </w:r>
    </w:p>
  </w:endnote>
  <w:endnote w:type="continuationSeparator" w:id="0">
    <w:p w:rsidR="00F36B77" w:rsidRDefault="00F36B77" w:rsidP="006D619D">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77" w:rsidRDefault="00F36B77" w:rsidP="006D619D">
      <w:r>
        <w:separator/>
      </w:r>
    </w:p>
  </w:footnote>
  <w:footnote w:type="continuationSeparator" w:id="0">
    <w:p w:rsidR="00F36B77" w:rsidRDefault="00F36B77" w:rsidP="006D6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5">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E34"/>
    <w:rsid w:val="00010008"/>
    <w:rsid w:val="0001495A"/>
    <w:rsid w:val="00067E34"/>
    <w:rsid w:val="00067F6A"/>
    <w:rsid w:val="00091FD2"/>
    <w:rsid w:val="000A232E"/>
    <w:rsid w:val="000D1740"/>
    <w:rsid w:val="001451A8"/>
    <w:rsid w:val="00160137"/>
    <w:rsid w:val="001800BC"/>
    <w:rsid w:val="00282E96"/>
    <w:rsid w:val="002E6A50"/>
    <w:rsid w:val="003343C5"/>
    <w:rsid w:val="00351120"/>
    <w:rsid w:val="00352311"/>
    <w:rsid w:val="00352B9F"/>
    <w:rsid w:val="00397B98"/>
    <w:rsid w:val="003A1ED4"/>
    <w:rsid w:val="003E7BA8"/>
    <w:rsid w:val="0044268A"/>
    <w:rsid w:val="00461D5A"/>
    <w:rsid w:val="004729DD"/>
    <w:rsid w:val="004842DB"/>
    <w:rsid w:val="004D3C8D"/>
    <w:rsid w:val="004F05B7"/>
    <w:rsid w:val="00504DBB"/>
    <w:rsid w:val="006011E3"/>
    <w:rsid w:val="0060492C"/>
    <w:rsid w:val="00605E6C"/>
    <w:rsid w:val="00615ABE"/>
    <w:rsid w:val="00615B30"/>
    <w:rsid w:val="00623506"/>
    <w:rsid w:val="00656D7F"/>
    <w:rsid w:val="006646BF"/>
    <w:rsid w:val="006764DB"/>
    <w:rsid w:val="006B05DB"/>
    <w:rsid w:val="006D3960"/>
    <w:rsid w:val="006D619D"/>
    <w:rsid w:val="00703DCA"/>
    <w:rsid w:val="00731CA6"/>
    <w:rsid w:val="00736F1D"/>
    <w:rsid w:val="00744643"/>
    <w:rsid w:val="0076374B"/>
    <w:rsid w:val="00784A19"/>
    <w:rsid w:val="007C39F1"/>
    <w:rsid w:val="0080339B"/>
    <w:rsid w:val="00812E91"/>
    <w:rsid w:val="00815F8B"/>
    <w:rsid w:val="00826D00"/>
    <w:rsid w:val="00827A9F"/>
    <w:rsid w:val="00842A28"/>
    <w:rsid w:val="00880FB8"/>
    <w:rsid w:val="008A3A8F"/>
    <w:rsid w:val="00920B11"/>
    <w:rsid w:val="009A5A79"/>
    <w:rsid w:val="009A63A5"/>
    <w:rsid w:val="009C2033"/>
    <w:rsid w:val="00A3483C"/>
    <w:rsid w:val="00A4275B"/>
    <w:rsid w:val="00B3079C"/>
    <w:rsid w:val="00B3523F"/>
    <w:rsid w:val="00B444D6"/>
    <w:rsid w:val="00B606DE"/>
    <w:rsid w:val="00BA289B"/>
    <w:rsid w:val="00BD62A1"/>
    <w:rsid w:val="00C26E0B"/>
    <w:rsid w:val="00C3707F"/>
    <w:rsid w:val="00C506F6"/>
    <w:rsid w:val="00C60533"/>
    <w:rsid w:val="00C8343D"/>
    <w:rsid w:val="00C9124C"/>
    <w:rsid w:val="00CC29B7"/>
    <w:rsid w:val="00D42CD3"/>
    <w:rsid w:val="00D43FB5"/>
    <w:rsid w:val="00D64C67"/>
    <w:rsid w:val="00D7298E"/>
    <w:rsid w:val="00D90033"/>
    <w:rsid w:val="00DA3178"/>
    <w:rsid w:val="00DC75C8"/>
    <w:rsid w:val="00DE1730"/>
    <w:rsid w:val="00DE1B33"/>
    <w:rsid w:val="00DE602B"/>
    <w:rsid w:val="00EB14E8"/>
    <w:rsid w:val="00EC45A7"/>
    <w:rsid w:val="00ED5BCA"/>
    <w:rsid w:val="00ED75C6"/>
    <w:rsid w:val="00EE46ED"/>
    <w:rsid w:val="00F02DE1"/>
    <w:rsid w:val="00F21030"/>
    <w:rsid w:val="00F34D9A"/>
    <w:rsid w:val="00F36B77"/>
    <w:rsid w:val="00F67C6E"/>
    <w:rsid w:val="00F85577"/>
    <w:rsid w:val="00FC4BE6"/>
    <w:rsid w:val="00FE297D"/>
    <w:rsid w:val="00FE5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5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19D"/>
    <w:rPr>
      <w:rFonts w:ascii="Times New Roman" w:eastAsia="宋体" w:hAnsi="Times New Roman" w:cs="Times New Roman"/>
      <w:sz w:val="18"/>
      <w:szCs w:val="18"/>
    </w:rPr>
  </w:style>
  <w:style w:type="paragraph" w:styleId="a4">
    <w:name w:val="footer"/>
    <w:basedOn w:val="a"/>
    <w:link w:val="Char0"/>
    <w:uiPriority w:val="99"/>
    <w:unhideWhenUsed/>
    <w:rsid w:val="006D619D"/>
    <w:pPr>
      <w:tabs>
        <w:tab w:val="center" w:pos="4153"/>
        <w:tab w:val="right" w:pos="8306"/>
      </w:tabs>
      <w:snapToGrid w:val="0"/>
      <w:jc w:val="left"/>
    </w:pPr>
    <w:rPr>
      <w:sz w:val="18"/>
      <w:szCs w:val="18"/>
    </w:rPr>
  </w:style>
  <w:style w:type="character" w:customStyle="1" w:styleId="Char0">
    <w:name w:val="页脚 Char"/>
    <w:basedOn w:val="a0"/>
    <w:link w:val="a4"/>
    <w:uiPriority w:val="99"/>
    <w:rsid w:val="006D619D"/>
    <w:rPr>
      <w:rFonts w:ascii="Times New Roman" w:eastAsia="宋体" w:hAnsi="Times New Roman" w:cs="Times New Roman"/>
      <w:sz w:val="18"/>
      <w:szCs w:val="18"/>
    </w:rPr>
  </w:style>
  <w:style w:type="paragraph" w:styleId="a5">
    <w:name w:val="Normal (Web)"/>
    <w:basedOn w:val="a"/>
    <w:uiPriority w:val="99"/>
    <w:semiHidden/>
    <w:unhideWhenUsed/>
    <w:rsid w:val="001800BC"/>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D7298E"/>
    <w:rPr>
      <w:sz w:val="18"/>
      <w:szCs w:val="18"/>
    </w:rPr>
  </w:style>
  <w:style w:type="character" w:customStyle="1" w:styleId="Char1">
    <w:name w:val="批注框文本 Char"/>
    <w:basedOn w:val="a0"/>
    <w:link w:val="a6"/>
    <w:uiPriority w:val="99"/>
    <w:semiHidden/>
    <w:rsid w:val="00D7298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5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19D"/>
    <w:rPr>
      <w:rFonts w:ascii="Times New Roman" w:eastAsia="宋体" w:hAnsi="Times New Roman" w:cs="Times New Roman"/>
      <w:sz w:val="18"/>
      <w:szCs w:val="18"/>
    </w:rPr>
  </w:style>
  <w:style w:type="paragraph" w:styleId="a4">
    <w:name w:val="footer"/>
    <w:basedOn w:val="a"/>
    <w:link w:val="Char0"/>
    <w:uiPriority w:val="99"/>
    <w:unhideWhenUsed/>
    <w:rsid w:val="006D619D"/>
    <w:pPr>
      <w:tabs>
        <w:tab w:val="center" w:pos="4153"/>
        <w:tab w:val="right" w:pos="8306"/>
      </w:tabs>
      <w:snapToGrid w:val="0"/>
      <w:jc w:val="left"/>
    </w:pPr>
    <w:rPr>
      <w:sz w:val="18"/>
      <w:szCs w:val="18"/>
    </w:rPr>
  </w:style>
  <w:style w:type="character" w:customStyle="1" w:styleId="Char0">
    <w:name w:val="页脚 Char"/>
    <w:basedOn w:val="a0"/>
    <w:link w:val="a4"/>
    <w:uiPriority w:val="99"/>
    <w:rsid w:val="006D619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72391909">
      <w:bodyDiv w:val="1"/>
      <w:marLeft w:val="0"/>
      <w:marRight w:val="0"/>
      <w:marTop w:val="0"/>
      <w:marBottom w:val="0"/>
      <w:divBdr>
        <w:top w:val="none" w:sz="0" w:space="0" w:color="auto"/>
        <w:left w:val="none" w:sz="0" w:space="0" w:color="auto"/>
        <w:bottom w:val="none" w:sz="0" w:space="0" w:color="auto"/>
        <w:right w:val="none" w:sz="0" w:space="0" w:color="auto"/>
      </w:divBdr>
    </w:div>
    <w:div w:id="11166777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148">
          <w:marLeft w:val="0"/>
          <w:marRight w:val="0"/>
          <w:marTop w:val="0"/>
          <w:marBottom w:val="0"/>
          <w:divBdr>
            <w:top w:val="none" w:sz="0" w:space="0" w:color="auto"/>
            <w:left w:val="none" w:sz="0" w:space="0" w:color="auto"/>
            <w:bottom w:val="none" w:sz="0" w:space="0" w:color="auto"/>
            <w:right w:val="none" w:sz="0" w:space="0" w:color="auto"/>
          </w:divBdr>
          <w:divsChild>
            <w:div w:id="163669391">
              <w:marLeft w:val="0"/>
              <w:marRight w:val="0"/>
              <w:marTop w:val="0"/>
              <w:marBottom w:val="0"/>
              <w:divBdr>
                <w:top w:val="none" w:sz="0" w:space="0" w:color="auto"/>
                <w:left w:val="none" w:sz="0" w:space="0" w:color="auto"/>
                <w:bottom w:val="none" w:sz="0" w:space="0" w:color="auto"/>
                <w:right w:val="none" w:sz="0" w:space="0" w:color="auto"/>
              </w:divBdr>
              <w:divsChild>
                <w:div w:id="1565141145">
                  <w:marLeft w:val="0"/>
                  <w:marRight w:val="0"/>
                  <w:marTop w:val="0"/>
                  <w:marBottom w:val="0"/>
                  <w:divBdr>
                    <w:top w:val="none" w:sz="0" w:space="0" w:color="auto"/>
                    <w:left w:val="none" w:sz="0" w:space="0" w:color="auto"/>
                    <w:bottom w:val="none" w:sz="0" w:space="0" w:color="auto"/>
                    <w:right w:val="none" w:sz="0" w:space="0" w:color="auto"/>
                  </w:divBdr>
                  <w:divsChild>
                    <w:div w:id="1199513645">
                      <w:marLeft w:val="0"/>
                      <w:marRight w:val="0"/>
                      <w:marTop w:val="0"/>
                      <w:marBottom w:val="0"/>
                      <w:divBdr>
                        <w:top w:val="none" w:sz="0" w:space="0" w:color="auto"/>
                        <w:left w:val="none" w:sz="0" w:space="0" w:color="auto"/>
                        <w:bottom w:val="none" w:sz="0" w:space="0" w:color="auto"/>
                        <w:right w:val="none" w:sz="0" w:space="0" w:color="auto"/>
                      </w:divBdr>
                      <w:divsChild>
                        <w:div w:id="434718206">
                          <w:marLeft w:val="0"/>
                          <w:marRight w:val="0"/>
                          <w:marTop w:val="0"/>
                          <w:marBottom w:val="0"/>
                          <w:divBdr>
                            <w:top w:val="none" w:sz="0" w:space="0" w:color="auto"/>
                            <w:left w:val="none" w:sz="0" w:space="0" w:color="auto"/>
                            <w:bottom w:val="none" w:sz="0" w:space="0" w:color="auto"/>
                            <w:right w:val="none" w:sz="0" w:space="0" w:color="auto"/>
                          </w:divBdr>
                          <w:divsChild>
                            <w:div w:id="1547837792">
                              <w:marLeft w:val="0"/>
                              <w:marRight w:val="0"/>
                              <w:marTop w:val="0"/>
                              <w:marBottom w:val="0"/>
                              <w:divBdr>
                                <w:top w:val="none" w:sz="0" w:space="0" w:color="auto"/>
                                <w:left w:val="none" w:sz="0" w:space="0" w:color="auto"/>
                                <w:bottom w:val="none" w:sz="0" w:space="0" w:color="auto"/>
                                <w:right w:val="none" w:sz="0" w:space="0" w:color="auto"/>
                              </w:divBdr>
                              <w:divsChild>
                                <w:div w:id="1599369450">
                                  <w:marLeft w:val="375"/>
                                  <w:marRight w:val="375"/>
                                  <w:marTop w:val="300"/>
                                  <w:marBottom w:val="0"/>
                                  <w:divBdr>
                                    <w:top w:val="none" w:sz="0" w:space="0" w:color="auto"/>
                                    <w:left w:val="none" w:sz="0" w:space="0" w:color="auto"/>
                                    <w:bottom w:val="none" w:sz="0" w:space="0" w:color="auto"/>
                                    <w:right w:val="none" w:sz="0" w:space="0" w:color="auto"/>
                                  </w:divBdr>
                                </w:div>
                                <w:div w:id="2085830126">
                                  <w:marLeft w:val="0"/>
                                  <w:marRight w:val="0"/>
                                  <w:marTop w:val="0"/>
                                  <w:marBottom w:val="0"/>
                                  <w:divBdr>
                                    <w:top w:val="none" w:sz="0" w:space="0" w:color="auto"/>
                                    <w:left w:val="none" w:sz="0" w:space="0" w:color="auto"/>
                                    <w:bottom w:val="none" w:sz="0" w:space="0" w:color="auto"/>
                                    <w:right w:val="none" w:sz="0" w:space="0" w:color="auto"/>
                                  </w:divBdr>
                                </w:div>
                              </w:divsChild>
                            </w:div>
                            <w:div w:id="1897466351">
                              <w:marLeft w:val="375"/>
                              <w:marRight w:val="375"/>
                              <w:marTop w:val="0"/>
                              <w:marBottom w:val="0"/>
                              <w:divBdr>
                                <w:top w:val="none" w:sz="0" w:space="0" w:color="auto"/>
                                <w:left w:val="none" w:sz="0" w:space="0" w:color="auto"/>
                                <w:bottom w:val="dashed" w:sz="6" w:space="0" w:color="D8D8D8"/>
                                <w:right w:val="none" w:sz="0" w:space="0" w:color="auto"/>
                              </w:divBdr>
                            </w:div>
                          </w:divsChild>
                        </w:div>
                      </w:divsChild>
                    </w:div>
                  </w:divsChild>
                </w:div>
              </w:divsChild>
            </w:div>
          </w:divsChild>
        </w:div>
      </w:divsChild>
    </w:div>
    <w:div w:id="1927113407">
      <w:bodyDiv w:val="1"/>
      <w:marLeft w:val="0"/>
      <w:marRight w:val="0"/>
      <w:marTop w:val="0"/>
      <w:marBottom w:val="0"/>
      <w:divBdr>
        <w:top w:val="none" w:sz="0" w:space="0" w:color="auto"/>
        <w:left w:val="none" w:sz="0" w:space="0" w:color="auto"/>
        <w:bottom w:val="none" w:sz="0" w:space="0" w:color="auto"/>
        <w:right w:val="none" w:sz="0" w:space="0" w:color="auto"/>
      </w:divBdr>
    </w:div>
    <w:div w:id="1994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26"/>
  <c:chart>
    <c:autoTitleDeleted val="1"/>
    <c:view3D>
      <c:perspective val="0"/>
    </c:view3D>
    <c:plotArea>
      <c:layout>
        <c:manualLayout>
          <c:layoutTarget val="inner"/>
          <c:xMode val="edge"/>
          <c:yMode val="edge"/>
          <c:x val="0"/>
          <c:y val="9.1582979666529896E-2"/>
          <c:w val="1"/>
          <c:h val="0.9026275882181396"/>
        </c:manualLayout>
      </c:layout>
      <c:pie3DChart>
        <c:varyColors val="1"/>
        <c:ser>
          <c:idx val="0"/>
          <c:order val="0"/>
          <c:tx>
            <c:v>声源构成图</c:v>
          </c:tx>
          <c:explosion val="19"/>
          <c:dLbls>
            <c:dLbl>
              <c:idx val="0"/>
              <c:layout>
                <c:manualLayout>
                  <c:x val="1.6114176117752849E-3"/>
                  <c:y val="-0.53232017888939498"/>
                </c:manualLayout>
              </c:layout>
              <c:dLblPos val="bestFit"/>
              <c:showCatName val="1"/>
              <c:showPercent val="1"/>
            </c:dLbl>
            <c:dLbl>
              <c:idx val="1"/>
              <c:layout>
                <c:manualLayout>
                  <c:x val="6.3766746448193898E-2"/>
                  <c:y val="-4.4430681259643591E-2"/>
                </c:manualLayout>
              </c:layout>
              <c:dLblPos val="bestFit"/>
              <c:showCatName val="1"/>
              <c:showPercent val="1"/>
            </c:dLbl>
            <c:dLbl>
              <c:idx val="2"/>
              <c:layout>
                <c:manualLayout>
                  <c:x val="2.1217403990381103E-2"/>
                  <c:y val="0"/>
                </c:manualLayout>
              </c:layout>
              <c:dLblPos val="bestFit"/>
              <c:showCatName val="1"/>
              <c:showPercent val="1"/>
            </c:dLbl>
            <c:dLbl>
              <c:idx val="3"/>
              <c:layout>
                <c:manualLayout>
                  <c:x val="2.4632318911738785E-2"/>
                  <c:y val="0"/>
                </c:manualLayout>
              </c:layout>
              <c:dLblPos val="bestFit"/>
              <c:showCatName val="1"/>
              <c:showPercent val="1"/>
            </c:dLbl>
            <c:dLbl>
              <c:idx val="4"/>
              <c:layout>
                <c:manualLayout>
                  <c:x val="8.8871741667156515E-2"/>
                  <c:y val="0"/>
                </c:manualLayout>
              </c:layout>
              <c:dLblPos val="bestFit"/>
              <c:showCatName val="1"/>
              <c:showPercent val="1"/>
            </c:dLbl>
            <c:numFmt formatCode="0.0%" sourceLinked="0"/>
            <c:showCatName val="1"/>
            <c:showPercent val="1"/>
            <c:showLeaderLines val="1"/>
          </c:dLbls>
          <c:cat>
            <c:strRef>
              <c:f>Sheet2!$C$68:$F$68</c:f>
              <c:strCache>
                <c:ptCount val="4"/>
                <c:pt idx="0">
                  <c:v>生活</c:v>
                </c:pt>
                <c:pt idx="1">
                  <c:v>交通</c:v>
                </c:pt>
                <c:pt idx="2">
                  <c:v>工业</c:v>
                </c:pt>
                <c:pt idx="3">
                  <c:v>施工</c:v>
                </c:pt>
              </c:strCache>
            </c:strRef>
          </c:cat>
          <c:val>
            <c:numRef>
              <c:f>Sheet2!$C$69:$F$69</c:f>
              <c:numCache>
                <c:formatCode>General</c:formatCode>
                <c:ptCount val="4"/>
                <c:pt idx="0">
                  <c:v>136</c:v>
                </c:pt>
                <c:pt idx="1">
                  <c:v>17</c:v>
                </c:pt>
                <c:pt idx="2">
                  <c:v>9</c:v>
                </c:pt>
                <c:pt idx="3">
                  <c:v>2</c:v>
                </c:pt>
              </c:numCache>
            </c:numRef>
          </c:val>
        </c:ser>
        <c:dLbls>
          <c:showCatName val="1"/>
          <c:showPercent val="1"/>
        </c:dLbls>
      </c:pie3DChart>
    </c:plotArea>
    <c:plotVisOnly val="1"/>
    <c:dispBlanksAs val="zero"/>
  </c:chart>
  <c:spPr>
    <a:ln>
      <a:noFill/>
    </a:ln>
  </c:spPr>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流畅">
  <a:themeElements>
    <a:clrScheme name="流畅">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流畅">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流畅">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D9767-388B-4DC6-A08E-11A71016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253</Words>
  <Characters>1446</Characters>
  <Application>Microsoft Office Word</Application>
  <DocSecurity>0</DocSecurity>
  <Lines>12</Lines>
  <Paragraphs>3</Paragraphs>
  <ScaleCrop>false</ScaleCrop>
  <Company>微软中国</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50</cp:revision>
  <cp:lastPrinted>2020-04-14T06:38:00Z</cp:lastPrinted>
  <dcterms:created xsi:type="dcterms:W3CDTF">2020-04-09T02:19:00Z</dcterms:created>
  <dcterms:modified xsi:type="dcterms:W3CDTF">2020-04-14T07:26:00Z</dcterms:modified>
</cp:coreProperties>
</file>