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仿宋_GB2312"/>
          <w:snapToGrid w:val="0"/>
          <w:color w:val="000000"/>
          <w:kern w:val="32"/>
          <w:sz w:val="32"/>
        </w:rPr>
      </w:pPr>
      <w:bookmarkStart w:id="0" w:name="_Hlk122674696"/>
    </w:p>
    <w:p>
      <w:pPr>
        <w:spacing w:line="500" w:lineRule="exact"/>
        <w:jc w:val="center"/>
        <w:rPr>
          <w:rFonts w:hint="eastAsia" w:eastAsia="仿宋_GB2312"/>
          <w:snapToGrid w:val="0"/>
          <w:color w:val="000000"/>
          <w:kern w:val="32"/>
          <w:sz w:val="32"/>
        </w:rPr>
      </w:pPr>
    </w:p>
    <w:p>
      <w:pPr>
        <w:spacing w:line="500" w:lineRule="exact"/>
        <w:jc w:val="center"/>
        <w:rPr>
          <w:rFonts w:hint="eastAsia" w:eastAsia="仿宋_GB2312"/>
          <w:snapToGrid w:val="0"/>
          <w:color w:val="000000"/>
          <w:kern w:val="32"/>
          <w:sz w:val="32"/>
        </w:rPr>
      </w:pPr>
    </w:p>
    <w:p>
      <w:pPr>
        <w:spacing w:line="500" w:lineRule="exact"/>
        <w:jc w:val="center"/>
        <w:rPr>
          <w:rFonts w:hint="eastAsia" w:eastAsia="仿宋_GB2312"/>
          <w:snapToGrid w:val="0"/>
          <w:color w:val="000000"/>
          <w:kern w:val="32"/>
          <w:sz w:val="32"/>
        </w:rPr>
      </w:pPr>
    </w:p>
    <w:p>
      <w:pPr>
        <w:spacing w:line="500" w:lineRule="exact"/>
        <w:jc w:val="center"/>
        <w:rPr>
          <w:rFonts w:eastAsia="仿宋_GB2312"/>
          <w:snapToGrid w:val="0"/>
          <w:color w:val="000000"/>
          <w:kern w:val="32"/>
          <w:sz w:val="32"/>
        </w:rPr>
      </w:pPr>
    </w:p>
    <w:p>
      <w:pPr>
        <w:spacing w:line="240" w:lineRule="atLeast"/>
        <w:jc w:val="center"/>
        <w:rPr>
          <w:rFonts w:hint="eastAsia" w:ascii="仿宋_GB2312" w:eastAsia="仿宋_GB2312"/>
          <w:snapToGrid w:val="0"/>
          <w:color w:val="000000"/>
          <w:kern w:val="32"/>
          <w:sz w:val="32"/>
          <w:szCs w:val="32"/>
        </w:rPr>
      </w:pPr>
    </w:p>
    <w:p>
      <w:pPr>
        <w:spacing w:line="240" w:lineRule="atLeast"/>
        <w:jc w:val="center"/>
        <w:rPr>
          <w:rFonts w:eastAsia="仿宋_GB2312"/>
          <w:snapToGrid w:val="0"/>
          <w:color w:val="000000"/>
          <w:kern w:val="32"/>
          <w:sz w:val="32"/>
          <w:szCs w:val="32"/>
        </w:rPr>
      </w:pPr>
      <w:r>
        <w:rPr>
          <w:rFonts w:eastAsia="仿宋_GB2312"/>
          <w:snapToGrid w:val="0"/>
          <w:color w:val="000000"/>
          <w:kern w:val="32"/>
          <w:sz w:val="32"/>
          <w:szCs w:val="32"/>
        </w:rPr>
        <w:t>锦政发〔202</w:t>
      </w:r>
      <w:r>
        <w:rPr>
          <w:rFonts w:hint="eastAsia" w:eastAsia="仿宋_GB2312"/>
          <w:snapToGrid w:val="0"/>
          <w:color w:val="000000"/>
          <w:kern w:val="32"/>
          <w:sz w:val="32"/>
          <w:szCs w:val="32"/>
          <w:lang w:val="en-US" w:eastAsia="zh-CN"/>
        </w:rPr>
        <w:t>3</w:t>
      </w:r>
      <w:r>
        <w:rPr>
          <w:rFonts w:eastAsia="仿宋_GB2312"/>
          <w:snapToGrid w:val="0"/>
          <w:color w:val="000000"/>
          <w:kern w:val="32"/>
          <w:sz w:val="32"/>
          <w:szCs w:val="32"/>
        </w:rPr>
        <w:t>〕</w:t>
      </w:r>
      <w:r>
        <w:rPr>
          <w:rFonts w:hint="eastAsia" w:eastAsia="仿宋_GB2312"/>
          <w:snapToGrid w:val="0"/>
          <w:color w:val="000000"/>
          <w:kern w:val="32"/>
          <w:sz w:val="32"/>
          <w:szCs w:val="32"/>
          <w:lang w:val="en-US" w:eastAsia="zh-CN"/>
        </w:rPr>
        <w:t>12</w:t>
      </w:r>
      <w:r>
        <w:rPr>
          <w:rFonts w:eastAsia="仿宋_GB2312"/>
          <w:snapToGrid w:val="0"/>
          <w:color w:val="000000"/>
          <w:kern w:val="32"/>
          <w:sz w:val="32"/>
          <w:szCs w:val="32"/>
        </w:rPr>
        <w:t>号</w:t>
      </w:r>
    </w:p>
    <w:p>
      <w:pPr>
        <w:spacing w:line="480" w:lineRule="exact"/>
        <w:jc w:val="center"/>
        <w:rPr>
          <w:rFonts w:hint="eastAsia" w:eastAsia="仿宋_GB2312"/>
          <w:snapToGrid w:val="0"/>
          <w:color w:val="000000"/>
          <w:kern w:val="32"/>
          <w:sz w:val="32"/>
        </w:rPr>
      </w:pPr>
    </w:p>
    <w:p>
      <w:pPr>
        <w:spacing w:line="700" w:lineRule="exact"/>
        <w:jc w:val="center"/>
        <w:rPr>
          <w:rFonts w:hint="eastAsia" w:eastAsia="黑体"/>
          <w:color w:val="000000"/>
          <w:sz w:val="30"/>
        </w:rPr>
      </w:pPr>
    </w:p>
    <w:p>
      <w:pPr>
        <w:pStyle w:val="2"/>
        <w:keepNext w:val="0"/>
        <w:keepLines w:val="0"/>
        <w:pageBreakBefore w:val="0"/>
        <w:widowControl/>
        <w:kinsoku/>
        <w:wordWrap/>
        <w:overflowPunct/>
        <w:topLinePunct w:val="0"/>
        <w:autoSpaceDE w:val="0"/>
        <w:autoSpaceDN w:val="0"/>
        <w:bidi w:val="0"/>
        <w:adjustRightInd/>
        <w:snapToGrid/>
        <w:spacing w:line="400" w:lineRule="exact"/>
        <w:ind w:firstLine="198"/>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pacing w:val="-6"/>
          <w:sz w:val="44"/>
          <w:szCs w:val="44"/>
        </w:rPr>
      </w:pPr>
      <w:r>
        <w:rPr>
          <w:rFonts w:hint="eastAsia" w:ascii="方正小标宋简体" w:hAnsi="方正小标宋简体" w:eastAsia="方正小标宋简体" w:cs="方正小标宋简体"/>
          <w:b w:val="0"/>
          <w:bCs/>
          <w:spacing w:val="-6"/>
          <w:sz w:val="44"/>
          <w:szCs w:val="44"/>
        </w:rPr>
        <w:t>关于印发《</w:t>
      </w:r>
      <w:r>
        <w:rPr>
          <w:rFonts w:hint="eastAsia" w:ascii="方正小标宋简体" w:hAnsi="方正小标宋简体" w:eastAsia="方正小标宋简体" w:cs="方正小标宋简体"/>
          <w:b w:val="0"/>
          <w:bCs/>
          <w:spacing w:val="-6"/>
          <w:sz w:val="44"/>
          <w:szCs w:val="44"/>
          <w:lang w:eastAsia="zh-CN"/>
        </w:rPr>
        <w:t>冶金工业园</w:t>
      </w:r>
      <w:r>
        <w:rPr>
          <w:rFonts w:hint="eastAsia" w:ascii="方正小标宋简体" w:hAnsi="方正小标宋简体" w:eastAsia="方正小标宋简体" w:cs="方正小标宋简体"/>
          <w:b w:val="0"/>
          <w:bCs/>
          <w:spacing w:val="-6"/>
          <w:sz w:val="44"/>
          <w:szCs w:val="44"/>
        </w:rPr>
        <w:t>（锦丰镇）餐饮经营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pacing w:val="-6"/>
          <w:sz w:val="44"/>
          <w:szCs w:val="44"/>
        </w:rPr>
      </w:pPr>
      <w:r>
        <w:rPr>
          <w:rFonts w:hint="eastAsia" w:ascii="方正小标宋简体" w:hAnsi="方正小标宋简体" w:eastAsia="方正小标宋简体" w:cs="方正小标宋简体"/>
          <w:b w:val="0"/>
          <w:bCs/>
          <w:spacing w:val="-6"/>
          <w:sz w:val="44"/>
          <w:szCs w:val="44"/>
        </w:rPr>
        <w:t>场所“瓶改管、瓶改电”工作实施方案》的通知</w:t>
      </w:r>
    </w:p>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hint="default" w:ascii="Times New Roman" w:hAnsi="Times New Roman" w:eastAsia="方正小标宋简体" w:cs="Times New Roman"/>
          <w:kern w:val="0"/>
          <w:sz w:val="44"/>
          <w:szCs w:val="44"/>
        </w:rPr>
      </w:pPr>
    </w:p>
    <w:p>
      <w:pPr>
        <w:keepNext w:val="0"/>
        <w:keepLines w:val="0"/>
        <w:pageBreakBefore w:val="0"/>
        <w:kinsoku/>
        <w:wordWrap/>
        <w:overflowPunct/>
        <w:topLinePunct w:val="0"/>
        <w:autoSpaceDE/>
        <w:autoSpaceDN/>
        <w:bidi w:val="0"/>
        <w:adjustRightInd w:val="0"/>
        <w:snapToGrid w:val="0"/>
        <w:spacing w:line="52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办事处（综合服务办），</w:t>
      </w:r>
      <w:r>
        <w:rPr>
          <w:rFonts w:hint="default" w:ascii="Times New Roman" w:hAnsi="Times New Roman" w:eastAsia="仿宋_GB2312" w:cs="Times New Roman"/>
          <w:sz w:val="32"/>
          <w:szCs w:val="32"/>
        </w:rPr>
        <w:t>村（社区）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各有关部门：</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经研究，现将《冶金工业园（锦丰镇）餐饮经营场所“瓶改管、瓶改电”工作实施方案》印发给你们，请认真遵照执行。</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kinsoku/>
        <w:wordWrap/>
        <w:overflowPunct/>
        <w:topLinePunct w:val="0"/>
        <w:autoSpaceDE/>
        <w:autoSpaceDN/>
        <w:bidi w:val="0"/>
        <w:spacing w:line="520" w:lineRule="exact"/>
        <w:ind w:firstLine="641"/>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pacing w:line="520" w:lineRule="exact"/>
        <w:ind w:firstLine="641"/>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pacing w:line="520" w:lineRule="exact"/>
        <w:ind w:firstLine="641"/>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val="0"/>
        <w:snapToGrid w:val="0"/>
        <w:spacing w:line="520" w:lineRule="exact"/>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张家港市锦丰镇人民政府</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rPr>
        <w:t>日</w:t>
      </w:r>
    </w:p>
    <w:p>
      <w:pPr>
        <w:keepNext w:val="0"/>
        <w:keepLines w:val="0"/>
        <w:pageBreakBefore w:val="0"/>
        <w:kinsoku/>
        <w:wordWrap/>
        <w:overflowPunct/>
        <w:topLinePunct w:val="0"/>
        <w:autoSpaceDE/>
        <w:autoSpaceDN/>
        <w:bidi w:val="0"/>
        <w:spacing w:line="520" w:lineRule="exact"/>
        <w:ind w:left="80" w:firstLine="640" w:firstLineChars="200"/>
        <w:textAlignment w:val="auto"/>
        <w:rPr>
          <w:rFonts w:hint="default" w:ascii="Times New Roman" w:hAnsi="Times New Roman" w:eastAsia="仿宋_GB2312" w:cs="Times New Roman"/>
          <w:sz w:val="32"/>
          <w:szCs w:val="32"/>
        </w:rPr>
      </w:pPr>
      <w:bookmarkStart w:id="1" w:name="_GoBack"/>
      <w:bookmarkEnd w:id="1"/>
      <w:r>
        <w:rPr>
          <w:rFonts w:hint="default" w:ascii="Times New Roman" w:hAnsi="Times New Roman" w:eastAsia="仿宋_GB2312" w:cs="Times New Roman"/>
          <w:spacing w:val="0"/>
          <w:w w:val="100"/>
          <w:sz w:val="32"/>
          <w:szCs w:val="32"/>
        </w:rPr>
        <w:t>（此件公开发布）</w:t>
      </w:r>
    </w:p>
    <w:p>
      <w:pPr>
        <w:keepNext w:val="0"/>
        <w:keepLines w:val="0"/>
        <w:pageBreakBefore w:val="0"/>
        <w:kinsoku/>
        <w:wordWrap/>
        <w:overflowPunct/>
        <w:topLinePunct w:val="0"/>
        <w:autoSpaceDE/>
        <w:autoSpaceDN/>
        <w:bidi w:val="0"/>
        <w:spacing w:line="520" w:lineRule="exact"/>
        <w:jc w:val="left"/>
        <w:textAlignment w:val="auto"/>
        <w:rPr>
          <w:rFonts w:hint="default" w:ascii="Times New Roman" w:hAnsi="Times New Roman" w:eastAsia="方正小标宋简体" w:cs="Times New Roman"/>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冶金工业园</w:t>
      </w:r>
      <w:r>
        <w:rPr>
          <w:rFonts w:hint="eastAsia" w:ascii="方正小标宋简体" w:hAnsi="方正小标宋简体" w:eastAsia="方正小标宋简体" w:cs="方正小标宋简体"/>
          <w:sz w:val="44"/>
          <w:szCs w:val="44"/>
        </w:rPr>
        <w:t>（锦丰镇）餐饮经营场所</w:t>
      </w:r>
    </w:p>
    <w:p>
      <w:pPr>
        <w:keepNext w:val="0"/>
        <w:keepLines w:val="0"/>
        <w:pageBreakBefore w:val="0"/>
        <w:kinsoku/>
        <w:wordWrap/>
        <w:overflowPunct/>
        <w:topLinePunct w:val="0"/>
        <w:bidi w:val="0"/>
        <w:spacing w:beforeAutospacing="0" w:line="520" w:lineRule="exact"/>
        <w:jc w:val="center"/>
        <w:textAlignment w:val="auto"/>
        <w:rPr>
          <w:rFonts w:ascii="黑体" w:hAnsi="黑体" w:eastAsia="黑体" w:cs="黑体"/>
          <w:sz w:val="44"/>
          <w:szCs w:val="44"/>
        </w:rPr>
      </w:pPr>
      <w:r>
        <w:rPr>
          <w:rFonts w:hint="eastAsia" w:ascii="方正小标宋简体" w:hAnsi="方正小标宋简体" w:eastAsia="方正小标宋简体" w:cs="方正小标宋简体"/>
          <w:sz w:val="44"/>
          <w:szCs w:val="44"/>
        </w:rPr>
        <w:t>“瓶改管、瓶改电”工作实施方案</w:t>
      </w:r>
      <w:bookmarkEnd w:id="0"/>
      <w:r>
        <w:rPr>
          <w:rFonts w:hint="eastAsia" w:ascii="黑体" w:hAnsi="黑体" w:eastAsia="黑体" w:cs="黑体"/>
          <w:sz w:val="44"/>
          <w:szCs w:val="44"/>
        </w:rPr>
        <w:br w:type="textWrapping"/>
      </w:r>
    </w:p>
    <w:p>
      <w:pPr>
        <w:pStyle w:val="18"/>
        <w:keepNext w:val="0"/>
        <w:keepLines w:val="0"/>
        <w:pageBreakBefore w:val="0"/>
        <w:kinsoku/>
        <w:wordWrap/>
        <w:overflowPunct/>
        <w:topLinePunct w:val="0"/>
        <w:bidi w:val="0"/>
        <w:spacing w:before="0" w:beforeAutospacing="0" w:line="520" w:lineRule="exact"/>
        <w:ind w:firstLine="640"/>
        <w:textAlignment w:val="auto"/>
        <w:rPr>
          <w:sz w:val="32"/>
          <w:szCs w:val="32"/>
        </w:rPr>
      </w:pPr>
      <w:r>
        <w:rPr>
          <w:rFonts w:hint="eastAsia"/>
          <w:kern w:val="2"/>
          <w:sz w:val="32"/>
          <w:szCs w:val="32"/>
          <w:lang w:val="zh-CN"/>
        </w:rPr>
        <w:t>为切实提升园（镇）餐饮场所本质安全水平，认真</w:t>
      </w:r>
      <w:r>
        <w:rPr>
          <w:sz w:val="32"/>
          <w:szCs w:val="32"/>
        </w:rPr>
        <w:t>贯彻落实</w:t>
      </w:r>
      <w:r>
        <w:rPr>
          <w:rFonts w:hint="eastAsia"/>
          <w:sz w:val="32"/>
          <w:szCs w:val="32"/>
        </w:rPr>
        <w:t>张家港市餐饮场所“瓶改管、瓶改电”集中改造实施方案要求及全市餐饮场所“瓶改管、瓶改电”工作的相关意见，</w:t>
      </w:r>
      <w:r>
        <w:rPr>
          <w:sz w:val="32"/>
          <w:szCs w:val="32"/>
        </w:rPr>
        <w:t>切实保障</w:t>
      </w:r>
      <w:r>
        <w:rPr>
          <w:rFonts w:hint="eastAsia"/>
          <w:sz w:val="32"/>
          <w:szCs w:val="32"/>
        </w:rPr>
        <w:t>城镇</w:t>
      </w:r>
      <w:r>
        <w:rPr>
          <w:sz w:val="32"/>
          <w:szCs w:val="32"/>
        </w:rPr>
        <w:t>公共安全和人民群众生命财产安全，</w:t>
      </w:r>
      <w:r>
        <w:rPr>
          <w:rFonts w:hint="eastAsia"/>
          <w:sz w:val="32"/>
          <w:szCs w:val="32"/>
        </w:rPr>
        <w:t>现</w:t>
      </w:r>
      <w:r>
        <w:rPr>
          <w:sz w:val="32"/>
          <w:szCs w:val="32"/>
        </w:rPr>
        <w:t>结合实际，</w:t>
      </w:r>
      <w:r>
        <w:rPr>
          <w:rFonts w:hint="eastAsia"/>
          <w:sz w:val="32"/>
          <w:szCs w:val="32"/>
        </w:rPr>
        <w:t>制定园（镇）</w:t>
      </w:r>
      <w:r>
        <w:rPr>
          <w:rFonts w:hint="eastAsia"/>
          <w:kern w:val="2"/>
          <w:sz w:val="32"/>
          <w:szCs w:val="32"/>
          <w:lang w:val="zh-CN"/>
        </w:rPr>
        <w:t>餐饮经营场所</w:t>
      </w:r>
      <w:r>
        <w:rPr>
          <w:rFonts w:hint="eastAsia"/>
          <w:sz w:val="32"/>
          <w:szCs w:val="32"/>
        </w:rPr>
        <w:t>“瓶改管、瓶改电”</w:t>
      </w:r>
      <w:r>
        <w:rPr>
          <w:sz w:val="32"/>
          <w:szCs w:val="32"/>
        </w:rPr>
        <w:t>实施方案</w:t>
      </w:r>
      <w:r>
        <w:rPr>
          <w:rFonts w:hint="eastAsia"/>
          <w:sz w:val="32"/>
          <w:szCs w:val="32"/>
        </w:rPr>
        <w:t>如下</w:t>
      </w:r>
      <w:r>
        <w:rPr>
          <w:sz w:val="32"/>
          <w:szCs w:val="32"/>
        </w:rPr>
        <w:t>。</w:t>
      </w:r>
    </w:p>
    <w:p>
      <w:pPr>
        <w:keepNext w:val="0"/>
        <w:keepLines w:val="0"/>
        <w:pageBreakBefore w:val="0"/>
        <w:kinsoku/>
        <w:wordWrap/>
        <w:overflowPunct/>
        <w:topLinePunct w:val="0"/>
        <w:bidi w:val="0"/>
        <w:adjustRightInd w:val="0"/>
        <w:snapToGrid w:val="0"/>
        <w:spacing w:beforeAutospacing="0" w:line="520" w:lineRule="exact"/>
        <w:ind w:firstLine="640" w:firstLineChars="200"/>
        <w:textAlignment w:val="auto"/>
        <w:rPr>
          <w:rFonts w:eastAsia="仿宋_GB2312"/>
          <w:sz w:val="32"/>
          <w:szCs w:val="32"/>
        </w:rPr>
      </w:pPr>
      <w:r>
        <w:rPr>
          <w:rFonts w:hint="eastAsia" w:eastAsia="黑体" w:cs="黑体"/>
          <w:sz w:val="32"/>
          <w:szCs w:val="32"/>
        </w:rPr>
        <w:t>一、总体目标</w:t>
      </w:r>
    </w:p>
    <w:p>
      <w:pPr>
        <w:keepNext w:val="0"/>
        <w:keepLines w:val="0"/>
        <w:pageBreakBefore w:val="0"/>
        <w:kinsoku/>
        <w:wordWrap/>
        <w:overflowPunct/>
        <w:topLinePunct w:val="0"/>
        <w:bidi w:val="0"/>
        <w:adjustRightInd w:val="0"/>
        <w:snapToGrid w:val="0"/>
        <w:spacing w:beforeAutospacing="0" w:line="520" w:lineRule="exact"/>
        <w:ind w:firstLine="640" w:firstLineChars="200"/>
        <w:textAlignment w:val="auto"/>
        <w:rPr>
          <w:rFonts w:eastAsia="仿宋_GB2312"/>
          <w:sz w:val="32"/>
          <w:szCs w:val="32"/>
        </w:rPr>
      </w:pPr>
      <w:r>
        <w:rPr>
          <w:rFonts w:eastAsia="仿宋_GB2312"/>
          <w:sz w:val="32"/>
          <w:szCs w:val="32"/>
        </w:rPr>
        <w:t>坚持以习近平新时代中国特色社会主义思想为指导，深入贯彻习近平总书记关于安全生产的重要论述，认真落实</w:t>
      </w:r>
      <w:r>
        <w:rPr>
          <w:rFonts w:hint="eastAsia" w:eastAsia="仿宋_GB2312"/>
          <w:sz w:val="32"/>
          <w:szCs w:val="32"/>
        </w:rPr>
        <w:t>省、苏州市及我市关于城镇燃气安全工作的会议精神和决策部署，</w:t>
      </w:r>
      <w:r>
        <w:rPr>
          <w:rFonts w:eastAsia="仿宋_GB2312"/>
          <w:sz w:val="32"/>
          <w:szCs w:val="32"/>
        </w:rPr>
        <w:t>坚</w:t>
      </w:r>
      <w:r>
        <w:rPr>
          <w:rFonts w:hint="eastAsia" w:eastAsia="仿宋_GB2312"/>
          <w:sz w:val="32"/>
          <w:szCs w:val="32"/>
        </w:rPr>
        <w:t>持“安全第一、应改尽改、统筹推进”原</w:t>
      </w:r>
      <w:r>
        <w:rPr>
          <w:rFonts w:eastAsia="仿宋_GB2312"/>
          <w:sz w:val="32"/>
          <w:szCs w:val="32"/>
        </w:rPr>
        <w:t>则，</w:t>
      </w:r>
      <w:r>
        <w:rPr>
          <w:rFonts w:hint="eastAsia" w:eastAsia="仿宋_GB2312"/>
          <w:sz w:val="32"/>
          <w:szCs w:val="32"/>
        </w:rPr>
        <w:t>自</w:t>
      </w:r>
      <w:r>
        <w:rPr>
          <w:rFonts w:eastAsia="仿宋_GB2312"/>
          <w:sz w:val="32"/>
          <w:szCs w:val="32"/>
        </w:rPr>
        <w:t>即日起</w:t>
      </w:r>
      <w:r>
        <w:rPr>
          <w:rFonts w:hint="eastAsia" w:eastAsia="仿宋_GB2312"/>
          <w:sz w:val="32"/>
          <w:szCs w:val="32"/>
        </w:rPr>
        <w:t>在园（镇）范围内全面实施</w:t>
      </w:r>
      <w:r>
        <w:rPr>
          <w:rFonts w:eastAsia="仿宋_GB2312"/>
          <w:sz w:val="32"/>
          <w:szCs w:val="32"/>
        </w:rPr>
        <w:t>餐饮场所</w:t>
      </w:r>
      <w:r>
        <w:rPr>
          <w:rFonts w:hint="eastAsia" w:eastAsia="仿宋_GB2312"/>
          <w:sz w:val="32"/>
          <w:szCs w:val="32"/>
        </w:rPr>
        <w:t>“瓶改管、瓶改电”集中</w:t>
      </w:r>
      <w:r>
        <w:rPr>
          <w:rFonts w:eastAsia="仿宋_GB2312"/>
          <w:sz w:val="32"/>
          <w:szCs w:val="32"/>
        </w:rPr>
        <w:t>改造工作，</w:t>
      </w:r>
      <w:r>
        <w:rPr>
          <w:rFonts w:hint="eastAsia" w:eastAsia="仿宋_GB2312"/>
          <w:sz w:val="32"/>
          <w:szCs w:val="32"/>
        </w:rPr>
        <w:t>切实压降安全风险隐患，提升</w:t>
      </w:r>
      <w:r>
        <w:rPr>
          <w:rFonts w:eastAsia="仿宋_GB2312"/>
          <w:sz w:val="32"/>
          <w:szCs w:val="32"/>
        </w:rPr>
        <w:t>本质安全水平。</w:t>
      </w:r>
    </w:p>
    <w:p>
      <w:pPr>
        <w:pStyle w:val="18"/>
        <w:keepNext w:val="0"/>
        <w:keepLines w:val="0"/>
        <w:pageBreakBefore w:val="0"/>
        <w:kinsoku/>
        <w:wordWrap/>
        <w:overflowPunct/>
        <w:topLinePunct w:val="0"/>
        <w:bidi w:val="0"/>
        <w:spacing w:before="0" w:beforeAutospacing="0" w:line="520" w:lineRule="exact"/>
        <w:ind w:firstLine="640"/>
        <w:textAlignment w:val="auto"/>
        <w:rPr>
          <w:rFonts w:eastAsia="黑体" w:cs="黑体"/>
          <w:kern w:val="2"/>
          <w:sz w:val="32"/>
          <w:szCs w:val="32"/>
        </w:rPr>
      </w:pPr>
      <w:r>
        <w:rPr>
          <w:rFonts w:hint="eastAsia" w:eastAsia="黑体" w:cs="黑体"/>
          <w:kern w:val="2"/>
          <w:sz w:val="32"/>
          <w:szCs w:val="32"/>
        </w:rPr>
        <w:t>二、实施对象</w:t>
      </w:r>
    </w:p>
    <w:p>
      <w:pPr>
        <w:keepNext w:val="0"/>
        <w:keepLines w:val="0"/>
        <w:pageBreakBefore w:val="0"/>
        <w:kinsoku/>
        <w:wordWrap/>
        <w:overflowPunct/>
        <w:topLinePunct w:val="0"/>
        <w:bidi w:val="0"/>
        <w:adjustRightInd w:val="0"/>
        <w:snapToGrid w:val="0"/>
        <w:spacing w:beforeAutospacing="0" w:line="520" w:lineRule="exact"/>
        <w:ind w:firstLine="640" w:firstLineChars="200"/>
        <w:textAlignment w:val="auto"/>
        <w:rPr>
          <w:rFonts w:eastAsia="仿宋_GB2312"/>
          <w:sz w:val="32"/>
          <w:szCs w:val="32"/>
        </w:rPr>
      </w:pPr>
      <w:r>
        <w:rPr>
          <w:rFonts w:hint="eastAsia" w:eastAsia="仿宋_GB2312"/>
          <w:kern w:val="0"/>
          <w:sz w:val="32"/>
          <w:szCs w:val="32"/>
        </w:rPr>
        <w:t>在</w:t>
      </w:r>
      <w:r>
        <w:rPr>
          <w:rFonts w:eastAsia="仿宋_GB2312"/>
          <w:kern w:val="0"/>
          <w:sz w:val="32"/>
          <w:szCs w:val="32"/>
        </w:rPr>
        <w:t>2023年2月1日至10月31日期间（以改造验收日期为准）</w:t>
      </w:r>
      <w:r>
        <w:rPr>
          <w:rFonts w:hint="eastAsia" w:eastAsia="仿宋_GB2312"/>
          <w:kern w:val="0"/>
          <w:sz w:val="32"/>
          <w:szCs w:val="32"/>
        </w:rPr>
        <w:t>，</w:t>
      </w:r>
      <w:r>
        <w:rPr>
          <w:rFonts w:hint="eastAsia" w:eastAsia="仿宋_GB2312"/>
          <w:sz w:val="32"/>
          <w:szCs w:val="32"/>
        </w:rPr>
        <w:t>园（镇）集镇区范围内</w:t>
      </w:r>
      <w:r>
        <w:rPr>
          <w:rFonts w:hint="eastAsia" w:eastAsia="仿宋_GB2312"/>
          <w:kern w:val="0"/>
          <w:sz w:val="32"/>
          <w:szCs w:val="32"/>
        </w:rPr>
        <w:t>实施“瓶改管”“瓶改电”</w:t>
      </w:r>
      <w:r>
        <w:rPr>
          <w:rFonts w:eastAsia="仿宋_GB2312"/>
          <w:kern w:val="0"/>
          <w:sz w:val="32"/>
          <w:szCs w:val="32"/>
        </w:rPr>
        <w:t>改造</w:t>
      </w:r>
      <w:r>
        <w:rPr>
          <w:rFonts w:hint="eastAsia" w:eastAsia="仿宋_GB2312"/>
          <w:kern w:val="0"/>
          <w:sz w:val="32"/>
          <w:szCs w:val="32"/>
        </w:rPr>
        <w:t>的</w:t>
      </w:r>
      <w:r>
        <w:rPr>
          <w:rFonts w:hint="eastAsia" w:eastAsia="仿宋_GB2312"/>
          <w:sz w:val="32"/>
          <w:szCs w:val="32"/>
        </w:rPr>
        <w:t>既有使用瓶装液化气的餐饮经营场所</w:t>
      </w:r>
      <w:r>
        <w:rPr>
          <w:rFonts w:hint="eastAsia" w:eastAsia="仿宋_GB2312"/>
          <w:kern w:val="0"/>
          <w:sz w:val="32"/>
          <w:szCs w:val="32"/>
        </w:rPr>
        <w:t>。</w:t>
      </w:r>
    </w:p>
    <w:p>
      <w:pPr>
        <w:keepNext w:val="0"/>
        <w:keepLines w:val="0"/>
        <w:pageBreakBefore w:val="0"/>
        <w:kinsoku/>
        <w:wordWrap/>
        <w:overflowPunct/>
        <w:topLinePunct w:val="0"/>
        <w:bidi w:val="0"/>
        <w:adjustRightInd w:val="0"/>
        <w:snapToGrid w:val="0"/>
        <w:spacing w:beforeAutospacing="0" w:line="520" w:lineRule="exact"/>
        <w:ind w:firstLine="640" w:firstLineChars="200"/>
        <w:textAlignment w:val="auto"/>
        <w:rPr>
          <w:rFonts w:eastAsia="黑体" w:cs="黑体"/>
          <w:sz w:val="32"/>
          <w:szCs w:val="32"/>
        </w:rPr>
      </w:pPr>
      <w:r>
        <w:rPr>
          <w:rFonts w:hint="eastAsia" w:eastAsia="黑体" w:cs="黑体"/>
          <w:sz w:val="32"/>
          <w:szCs w:val="32"/>
        </w:rPr>
        <w:t>三、实施计划</w:t>
      </w:r>
    </w:p>
    <w:p>
      <w:pPr>
        <w:keepNext w:val="0"/>
        <w:keepLines w:val="0"/>
        <w:pageBreakBefore w:val="0"/>
        <w:kinsoku/>
        <w:wordWrap/>
        <w:overflowPunct/>
        <w:topLinePunct w:val="0"/>
        <w:bidi w:val="0"/>
        <w:adjustRightInd w:val="0"/>
        <w:snapToGrid w:val="0"/>
        <w:spacing w:beforeAutospacing="0" w:line="520" w:lineRule="exact"/>
        <w:ind w:firstLine="640" w:firstLineChars="200"/>
        <w:textAlignment w:val="auto"/>
        <w:rPr>
          <w:rFonts w:eastAsia="仿宋_GB2312"/>
          <w:bCs/>
          <w:color w:val="00B050"/>
          <w:sz w:val="32"/>
          <w:szCs w:val="32"/>
        </w:rPr>
      </w:pPr>
      <w:r>
        <w:rPr>
          <w:rFonts w:eastAsia="楷体_GB2312"/>
          <w:bCs/>
          <w:sz w:val="32"/>
          <w:szCs w:val="32"/>
        </w:rPr>
        <w:t>（一）调查摸底阶段（即日起至2023年</w:t>
      </w:r>
      <w:r>
        <w:rPr>
          <w:rFonts w:hint="eastAsia" w:eastAsia="楷体_GB2312"/>
          <w:bCs/>
          <w:sz w:val="32"/>
          <w:szCs w:val="32"/>
        </w:rPr>
        <w:t>2</w:t>
      </w:r>
      <w:r>
        <w:rPr>
          <w:rFonts w:eastAsia="楷体_GB2312"/>
          <w:bCs/>
          <w:sz w:val="32"/>
          <w:szCs w:val="32"/>
        </w:rPr>
        <w:t>月</w:t>
      </w:r>
      <w:r>
        <w:rPr>
          <w:rFonts w:hint="eastAsia" w:eastAsia="楷体_GB2312"/>
          <w:bCs/>
          <w:sz w:val="32"/>
          <w:szCs w:val="32"/>
        </w:rPr>
        <w:t>10</w:t>
      </w:r>
      <w:r>
        <w:rPr>
          <w:rFonts w:eastAsia="楷体_GB2312"/>
          <w:bCs/>
          <w:sz w:val="32"/>
          <w:szCs w:val="32"/>
        </w:rPr>
        <w:t>日）</w:t>
      </w:r>
      <w:r>
        <w:rPr>
          <w:rFonts w:hint="eastAsia" w:eastAsia="楷体_GB2312" w:cs="楷体_GB2312"/>
          <w:bCs/>
          <w:sz w:val="32"/>
          <w:szCs w:val="32"/>
        </w:rPr>
        <w:t>。</w:t>
      </w:r>
      <w:r>
        <w:rPr>
          <w:rFonts w:hint="eastAsia" w:eastAsia="仿宋_GB2312"/>
          <w:sz w:val="32"/>
          <w:szCs w:val="32"/>
        </w:rPr>
        <w:t>园（镇）</w:t>
      </w:r>
      <w:r>
        <w:rPr>
          <w:rFonts w:eastAsia="仿宋_GB2312"/>
          <w:sz w:val="32"/>
          <w:szCs w:val="32"/>
        </w:rPr>
        <w:t>组建餐饮场所</w:t>
      </w:r>
      <w:r>
        <w:rPr>
          <w:rFonts w:hint="eastAsia" w:eastAsia="仿宋_GB2312"/>
          <w:sz w:val="32"/>
          <w:szCs w:val="32"/>
        </w:rPr>
        <w:t>“瓶改管、瓶改电”改造工</w:t>
      </w:r>
      <w:r>
        <w:rPr>
          <w:rFonts w:eastAsia="仿宋_GB2312"/>
          <w:sz w:val="32"/>
          <w:szCs w:val="32"/>
        </w:rPr>
        <w:t>作专班（以下简称</w:t>
      </w:r>
      <w:r>
        <w:rPr>
          <w:rFonts w:hint="eastAsia" w:eastAsia="仿宋_GB2312"/>
          <w:sz w:val="32"/>
          <w:szCs w:val="32"/>
        </w:rPr>
        <w:t>工作</w:t>
      </w:r>
      <w:r>
        <w:rPr>
          <w:rFonts w:eastAsia="仿宋_GB2312"/>
          <w:sz w:val="32"/>
          <w:szCs w:val="32"/>
        </w:rPr>
        <w:t>专班）</w:t>
      </w:r>
      <w:r>
        <w:rPr>
          <w:rFonts w:hint="eastAsia" w:eastAsia="仿宋_GB2312"/>
          <w:sz w:val="32"/>
          <w:szCs w:val="32"/>
        </w:rPr>
        <w:t>（附件1）</w:t>
      </w:r>
      <w:r>
        <w:rPr>
          <w:rFonts w:eastAsia="仿宋_GB2312"/>
          <w:sz w:val="32"/>
          <w:szCs w:val="32"/>
        </w:rPr>
        <w:t>，专项协调、推进、督导</w:t>
      </w:r>
      <w:r>
        <w:rPr>
          <w:rFonts w:hint="eastAsia" w:eastAsia="仿宋_GB2312"/>
          <w:sz w:val="32"/>
          <w:szCs w:val="32"/>
        </w:rPr>
        <w:t>集中改造工作</w:t>
      </w:r>
      <w:r>
        <w:rPr>
          <w:rFonts w:eastAsia="仿宋_GB2312"/>
          <w:sz w:val="32"/>
          <w:szCs w:val="32"/>
        </w:rPr>
        <w:t>。</w:t>
      </w:r>
      <w:r>
        <w:rPr>
          <w:rFonts w:hint="eastAsia" w:eastAsia="仿宋_GB2312"/>
          <w:sz w:val="32"/>
          <w:szCs w:val="32"/>
        </w:rPr>
        <w:t>工作专班</w:t>
      </w:r>
      <w:r>
        <w:rPr>
          <w:rFonts w:eastAsia="仿宋_GB2312"/>
          <w:sz w:val="32"/>
          <w:szCs w:val="32"/>
        </w:rPr>
        <w:t>根据各</w:t>
      </w:r>
      <w:r>
        <w:rPr>
          <w:rFonts w:hint="eastAsia" w:eastAsia="仿宋_GB2312"/>
          <w:sz w:val="32"/>
          <w:szCs w:val="32"/>
        </w:rPr>
        <w:t>相关部门、村（社区）</w:t>
      </w:r>
      <w:r>
        <w:rPr>
          <w:rFonts w:eastAsia="仿宋_GB2312"/>
          <w:sz w:val="32"/>
          <w:szCs w:val="32"/>
        </w:rPr>
        <w:t>报送的使用瓶装液化气餐饮场所数量情况，结合天然气现状管网，制定</w:t>
      </w:r>
      <w:r>
        <w:rPr>
          <w:rFonts w:hint="eastAsia" w:eastAsia="仿宋_GB2312"/>
          <w:sz w:val="32"/>
          <w:szCs w:val="32"/>
        </w:rPr>
        <w:t>“瓶改管、瓶改电”改造</w:t>
      </w:r>
      <w:r>
        <w:rPr>
          <w:rFonts w:eastAsia="仿宋_GB2312"/>
          <w:sz w:val="32"/>
          <w:szCs w:val="32"/>
        </w:rPr>
        <w:t>工作任务</w:t>
      </w:r>
      <w:r>
        <w:rPr>
          <w:rFonts w:hint="eastAsia" w:eastAsia="仿宋_GB2312"/>
          <w:sz w:val="32"/>
          <w:szCs w:val="32"/>
        </w:rPr>
        <w:t>。</w:t>
      </w:r>
      <w:r>
        <w:rPr>
          <w:rFonts w:eastAsia="仿宋_GB2312"/>
          <w:sz w:val="32"/>
          <w:szCs w:val="32"/>
        </w:rPr>
        <w:t>管道燃气公司、供电公司积极配合</w:t>
      </w:r>
      <w:r>
        <w:rPr>
          <w:rFonts w:hint="eastAsia" w:eastAsia="仿宋_GB2312"/>
          <w:sz w:val="32"/>
          <w:szCs w:val="32"/>
        </w:rPr>
        <w:t>改造工作</w:t>
      </w:r>
      <w:r>
        <w:rPr>
          <w:rFonts w:eastAsia="仿宋_GB2312"/>
          <w:sz w:val="32"/>
          <w:szCs w:val="32"/>
        </w:rPr>
        <w:t>。</w:t>
      </w:r>
      <w:r>
        <w:rPr>
          <w:rFonts w:eastAsia="仿宋_GB2312"/>
          <w:bCs/>
          <w:sz w:val="32"/>
          <w:szCs w:val="32"/>
        </w:rPr>
        <w:t>2023年2月1日起，</w:t>
      </w:r>
      <w:r>
        <w:rPr>
          <w:rFonts w:hint="eastAsia" w:eastAsia="仿宋_GB2312"/>
          <w:bCs/>
          <w:sz w:val="32"/>
          <w:szCs w:val="32"/>
        </w:rPr>
        <w:t>园（镇）</w:t>
      </w:r>
      <w:r>
        <w:rPr>
          <w:rFonts w:eastAsia="仿宋_GB2312"/>
          <w:bCs/>
          <w:sz w:val="32"/>
          <w:szCs w:val="32"/>
        </w:rPr>
        <w:t>新增餐饮场所鼓励使用管道天然气或电能</w:t>
      </w:r>
      <w:r>
        <w:rPr>
          <w:rFonts w:hint="eastAsia" w:eastAsia="仿宋_GB2312"/>
          <w:bCs/>
          <w:sz w:val="32"/>
          <w:szCs w:val="32"/>
        </w:rPr>
        <w:t>；</w:t>
      </w:r>
      <w:r>
        <w:rPr>
          <w:rFonts w:eastAsia="仿宋_GB2312"/>
          <w:bCs/>
          <w:sz w:val="32"/>
          <w:szCs w:val="32"/>
        </w:rPr>
        <w:t>使用瓶装液化气的，须经瓶装液化气经营企业核实用气安全条件后方可开户购气，并主动向</w:t>
      </w:r>
      <w:r>
        <w:rPr>
          <w:rFonts w:hint="eastAsia" w:eastAsia="仿宋_GB2312"/>
          <w:bCs/>
          <w:sz w:val="32"/>
          <w:szCs w:val="32"/>
        </w:rPr>
        <w:t>园规划建设局备</w:t>
      </w:r>
      <w:r>
        <w:rPr>
          <w:rFonts w:eastAsia="仿宋_GB2312"/>
          <w:bCs/>
          <w:sz w:val="32"/>
          <w:szCs w:val="32"/>
        </w:rPr>
        <w:t>案。</w:t>
      </w:r>
    </w:p>
    <w:p>
      <w:pPr>
        <w:keepNext w:val="0"/>
        <w:keepLines w:val="0"/>
        <w:pageBreakBefore w:val="0"/>
        <w:tabs>
          <w:tab w:val="left" w:pos="2835"/>
        </w:tabs>
        <w:kinsoku/>
        <w:wordWrap/>
        <w:overflowPunct/>
        <w:topLinePunct w:val="0"/>
        <w:bidi w:val="0"/>
        <w:adjustRightInd w:val="0"/>
        <w:snapToGrid w:val="0"/>
        <w:spacing w:beforeAutospacing="0" w:line="520" w:lineRule="exact"/>
        <w:ind w:firstLine="640" w:firstLineChars="200"/>
        <w:textAlignment w:val="auto"/>
        <w:rPr>
          <w:rFonts w:eastAsia="仿宋_GB2312"/>
          <w:bCs/>
          <w:color w:val="0000FF"/>
          <w:kern w:val="24"/>
          <w:sz w:val="32"/>
          <w:szCs w:val="32"/>
        </w:rPr>
      </w:pPr>
      <w:r>
        <w:rPr>
          <w:rFonts w:eastAsia="楷体_GB2312"/>
          <w:bCs/>
          <w:sz w:val="32"/>
          <w:szCs w:val="32"/>
        </w:rPr>
        <w:t>（二）动员准备阶段（2023年2月</w:t>
      </w:r>
      <w:r>
        <w:rPr>
          <w:rFonts w:hint="eastAsia" w:eastAsia="楷体_GB2312"/>
          <w:bCs/>
          <w:sz w:val="32"/>
          <w:szCs w:val="32"/>
        </w:rPr>
        <w:t>10</w:t>
      </w:r>
      <w:r>
        <w:rPr>
          <w:rFonts w:eastAsia="楷体_GB2312"/>
          <w:bCs/>
          <w:sz w:val="32"/>
          <w:szCs w:val="32"/>
        </w:rPr>
        <w:t>日至2023年3月31日）。</w:t>
      </w:r>
      <w:r>
        <w:rPr>
          <w:rFonts w:hint="eastAsia" w:eastAsia="仿宋_GB2312"/>
          <w:sz w:val="32"/>
          <w:szCs w:val="32"/>
        </w:rPr>
        <w:t>园（镇）工作专班召开专题会议，对改造工作目标任务全面动员部署。</w:t>
      </w:r>
      <w:r>
        <w:rPr>
          <w:rFonts w:eastAsia="仿宋_GB2312"/>
          <w:sz w:val="32"/>
          <w:szCs w:val="32"/>
        </w:rPr>
        <w:t>各</w:t>
      </w:r>
      <w:r>
        <w:rPr>
          <w:rFonts w:hint="eastAsia" w:eastAsia="仿宋_GB2312"/>
          <w:sz w:val="32"/>
          <w:szCs w:val="32"/>
        </w:rPr>
        <w:t>相关部门、村（社区）</w:t>
      </w:r>
      <w:r>
        <w:rPr>
          <w:rFonts w:eastAsia="仿宋_GB2312"/>
          <w:sz w:val="32"/>
          <w:szCs w:val="32"/>
        </w:rPr>
        <w:t>对照工作计划，细化任务分工，明确工作时限，迅速组织推进，</w:t>
      </w:r>
      <w:r>
        <w:rPr>
          <w:rFonts w:hint="eastAsia" w:eastAsia="仿宋_GB2312"/>
          <w:sz w:val="32"/>
          <w:szCs w:val="32"/>
        </w:rPr>
        <w:t>一是由园规划建设局</w:t>
      </w:r>
      <w:r>
        <w:rPr>
          <w:rFonts w:eastAsia="仿宋_GB2312"/>
          <w:sz w:val="32"/>
          <w:szCs w:val="32"/>
        </w:rPr>
        <w:t>完成相关市政管线路由选址报批手续的办理，由管道燃气企业提供选址方案；</w:t>
      </w:r>
      <w:r>
        <w:rPr>
          <w:rFonts w:hint="eastAsia" w:eastAsia="仿宋_GB2312"/>
          <w:sz w:val="32"/>
          <w:szCs w:val="32"/>
        </w:rPr>
        <w:t>二是由各村（社区）完</w:t>
      </w:r>
      <w:r>
        <w:rPr>
          <w:rFonts w:eastAsia="仿宋_GB2312"/>
          <w:sz w:val="32"/>
          <w:szCs w:val="32"/>
        </w:rPr>
        <w:t>成辖区内餐饮场所全覆盖上门宣传动员</w:t>
      </w:r>
      <w:r>
        <w:rPr>
          <w:rFonts w:hint="eastAsia" w:eastAsia="仿宋_GB2312"/>
          <w:sz w:val="32"/>
          <w:szCs w:val="32"/>
        </w:rPr>
        <w:t>，重点宣传使用管道天然气或电能的安全性、经济性，以及本次集中改造阶段性补贴政策</w:t>
      </w:r>
      <w:r>
        <w:rPr>
          <w:rFonts w:eastAsia="仿宋_GB2312"/>
          <w:kern w:val="24"/>
          <w:sz w:val="32"/>
          <w:szCs w:val="32"/>
        </w:rPr>
        <w:t>；</w:t>
      </w:r>
      <w:r>
        <w:rPr>
          <w:rFonts w:eastAsia="仿宋_GB2312"/>
          <w:sz w:val="32"/>
          <w:szCs w:val="32"/>
        </w:rPr>
        <w:t>三是管道燃气公司和供电公司对同意改造的餐饮商户，迅速组织勘察设计、制定施工方案、签订改造协议、准备工程材料等工作</w:t>
      </w:r>
      <w:r>
        <w:rPr>
          <w:rFonts w:hint="eastAsia" w:eastAsia="仿宋_GB2312"/>
          <w:sz w:val="32"/>
          <w:szCs w:val="32"/>
        </w:rPr>
        <w:t>；四是宣传</w:t>
      </w:r>
      <w:r>
        <w:rPr>
          <w:rFonts w:eastAsia="仿宋_GB2312"/>
          <w:sz w:val="32"/>
          <w:szCs w:val="32"/>
        </w:rPr>
        <w:t>动员过程中，发现无营业执照、食品经营许可的餐饮经营主体，</w:t>
      </w:r>
      <w:r>
        <w:rPr>
          <w:rFonts w:hint="eastAsia" w:eastAsia="仿宋_GB2312"/>
          <w:sz w:val="32"/>
          <w:szCs w:val="32"/>
        </w:rPr>
        <w:t>由各村（社区）及时抄报</w:t>
      </w:r>
      <w:r>
        <w:rPr>
          <w:rFonts w:eastAsia="仿宋_GB2312"/>
          <w:sz w:val="32"/>
          <w:szCs w:val="32"/>
        </w:rPr>
        <w:t>相关执法部门处置。</w:t>
      </w:r>
    </w:p>
    <w:p>
      <w:pPr>
        <w:keepNext w:val="0"/>
        <w:keepLines w:val="0"/>
        <w:pageBreakBefore w:val="0"/>
        <w:kinsoku/>
        <w:wordWrap/>
        <w:overflowPunct/>
        <w:topLinePunct w:val="0"/>
        <w:bidi w:val="0"/>
        <w:adjustRightInd w:val="0"/>
        <w:snapToGrid w:val="0"/>
        <w:spacing w:beforeAutospacing="0" w:line="520" w:lineRule="exact"/>
        <w:ind w:firstLine="640" w:firstLineChars="200"/>
        <w:textAlignment w:val="auto"/>
        <w:rPr>
          <w:rFonts w:eastAsia="仿宋_GB2312"/>
          <w:sz w:val="32"/>
          <w:szCs w:val="32"/>
        </w:rPr>
      </w:pPr>
      <w:r>
        <w:rPr>
          <w:rFonts w:eastAsia="楷体_GB2312"/>
          <w:bCs/>
          <w:sz w:val="32"/>
          <w:szCs w:val="32"/>
        </w:rPr>
        <w:t>（三）全面实施阶段（2023年4月1日至9月30 日）。</w:t>
      </w:r>
      <w:r>
        <w:rPr>
          <w:rFonts w:eastAsia="仿宋_GB2312"/>
          <w:sz w:val="32"/>
          <w:szCs w:val="32"/>
        </w:rPr>
        <w:t>各</w:t>
      </w:r>
      <w:r>
        <w:rPr>
          <w:rFonts w:hint="eastAsia" w:eastAsia="仿宋_GB2312"/>
          <w:sz w:val="32"/>
          <w:szCs w:val="32"/>
        </w:rPr>
        <w:t>相关部门、村（社区）</w:t>
      </w:r>
      <w:r>
        <w:rPr>
          <w:rFonts w:eastAsia="仿宋_GB2312"/>
          <w:sz w:val="32"/>
          <w:szCs w:val="32"/>
        </w:rPr>
        <w:t>有序组织辖区内餐饮场</w:t>
      </w:r>
      <w:r>
        <w:rPr>
          <w:rFonts w:hint="eastAsia" w:eastAsia="仿宋_GB2312"/>
          <w:sz w:val="32"/>
          <w:szCs w:val="32"/>
        </w:rPr>
        <w:t>所“瓶改管、瓶改电”</w:t>
      </w:r>
      <w:r>
        <w:rPr>
          <w:rFonts w:eastAsia="仿宋_GB2312"/>
          <w:sz w:val="32"/>
          <w:szCs w:val="32"/>
        </w:rPr>
        <w:t>集中</w:t>
      </w:r>
      <w:r>
        <w:rPr>
          <w:rFonts w:hint="eastAsia" w:eastAsia="仿宋_GB2312"/>
          <w:sz w:val="32"/>
          <w:szCs w:val="32"/>
        </w:rPr>
        <w:t>改造工作。</w:t>
      </w:r>
      <w:r>
        <w:rPr>
          <w:rFonts w:eastAsia="仿宋_GB2312"/>
          <w:sz w:val="32"/>
          <w:szCs w:val="32"/>
        </w:rPr>
        <w:t>上一阶段已完成改造协议签订的，督促管道燃气公司、供电公司立即组织施工，及时协调解决实施过程中遇到的相关问题；</w:t>
      </w:r>
      <w:r>
        <w:rPr>
          <w:rFonts w:hint="eastAsia" w:eastAsia="仿宋_GB2312"/>
          <w:sz w:val="32"/>
          <w:szCs w:val="32"/>
        </w:rPr>
        <w:t>未达成改造意愿的，加大宣传引导力度，鼓励“能改则改”，提升安全水平；加大使用瓶装液化气餐饮商户的监督管理力度，保障经营安全。</w:t>
      </w:r>
      <w:r>
        <w:rPr>
          <w:rFonts w:eastAsia="仿宋_GB2312"/>
          <w:sz w:val="32"/>
          <w:szCs w:val="32"/>
        </w:rPr>
        <w:t>管道燃气公司加快市政管网建设，供电公司</w:t>
      </w:r>
      <w:r>
        <w:rPr>
          <w:rFonts w:hint="eastAsia" w:eastAsia="仿宋_GB2312"/>
          <w:sz w:val="32"/>
          <w:szCs w:val="32"/>
        </w:rPr>
        <w:t>加</w:t>
      </w:r>
      <w:r>
        <w:rPr>
          <w:rFonts w:eastAsia="仿宋_GB2312"/>
          <w:sz w:val="32"/>
          <w:szCs w:val="32"/>
        </w:rPr>
        <w:t>快完成</w:t>
      </w:r>
      <w:r>
        <w:rPr>
          <w:rFonts w:eastAsia="仿宋_GB2312"/>
          <w:kern w:val="0"/>
          <w:sz w:val="32"/>
          <w:szCs w:val="32"/>
        </w:rPr>
        <w:t>外部线路改造</w:t>
      </w:r>
      <w:r>
        <w:rPr>
          <w:rFonts w:hint="eastAsia" w:eastAsia="仿宋_GB2312"/>
          <w:kern w:val="0"/>
          <w:sz w:val="32"/>
          <w:szCs w:val="32"/>
        </w:rPr>
        <w:t>，确保在规定时限内“应改尽改”。</w:t>
      </w:r>
    </w:p>
    <w:p>
      <w:pPr>
        <w:keepNext w:val="0"/>
        <w:keepLines w:val="0"/>
        <w:pageBreakBefore w:val="0"/>
        <w:kinsoku/>
        <w:wordWrap/>
        <w:overflowPunct/>
        <w:topLinePunct w:val="0"/>
        <w:bidi w:val="0"/>
        <w:adjustRightInd w:val="0"/>
        <w:snapToGrid w:val="0"/>
        <w:spacing w:beforeAutospacing="0" w:line="520" w:lineRule="exact"/>
        <w:ind w:firstLine="640" w:firstLineChars="200"/>
        <w:textAlignment w:val="auto"/>
        <w:rPr>
          <w:rFonts w:eastAsia="楷体_GB2312" w:cs="楷体_GB2312"/>
          <w:bCs/>
          <w:color w:val="000000"/>
          <w:kern w:val="24"/>
          <w:sz w:val="32"/>
          <w:szCs w:val="32"/>
        </w:rPr>
      </w:pPr>
      <w:r>
        <w:rPr>
          <w:rFonts w:eastAsia="楷体_GB2312"/>
          <w:bCs/>
          <w:sz w:val="32"/>
          <w:szCs w:val="32"/>
        </w:rPr>
        <w:t>（四）巩固提升阶段（2023 年10 月1日至11月30日）。</w:t>
      </w:r>
      <w:r>
        <w:rPr>
          <w:rFonts w:eastAsia="仿宋_GB2312"/>
          <w:sz w:val="32"/>
          <w:szCs w:val="32"/>
        </w:rPr>
        <w:t>进一步巩固餐饮场所</w:t>
      </w:r>
      <w:r>
        <w:rPr>
          <w:rFonts w:hint="eastAsia" w:eastAsia="仿宋_GB2312"/>
          <w:sz w:val="32"/>
          <w:szCs w:val="32"/>
        </w:rPr>
        <w:t>“瓶改管、</w:t>
      </w:r>
      <w:r>
        <w:rPr>
          <w:rFonts w:hint="eastAsia" w:eastAsia="仿宋_GB2312"/>
          <w:kern w:val="0"/>
          <w:sz w:val="32"/>
          <w:szCs w:val="32"/>
        </w:rPr>
        <w:t>瓶改电”集中改造工</w:t>
      </w:r>
      <w:r>
        <w:rPr>
          <w:rFonts w:eastAsia="仿宋_GB2312"/>
          <w:kern w:val="0"/>
          <w:sz w:val="32"/>
          <w:szCs w:val="32"/>
        </w:rPr>
        <w:t>作成效，对未完成全年改造目标任务的</w:t>
      </w:r>
      <w:r>
        <w:rPr>
          <w:rFonts w:hint="eastAsia" w:eastAsia="仿宋_GB2312"/>
          <w:kern w:val="0"/>
          <w:sz w:val="32"/>
          <w:szCs w:val="32"/>
        </w:rPr>
        <w:t>相关单位进行通报，并</w:t>
      </w:r>
      <w:r>
        <w:rPr>
          <w:rFonts w:hint="eastAsia" w:eastAsia="仿宋_GB2312" w:cs="仿宋_GB2312"/>
          <w:sz w:val="32"/>
          <w:szCs w:val="32"/>
        </w:rPr>
        <w:t>纳入年度绩效考核、安全生产工作考核</w:t>
      </w:r>
      <w:r>
        <w:rPr>
          <w:rFonts w:eastAsia="仿宋_GB2312"/>
          <w:kern w:val="0"/>
          <w:sz w:val="32"/>
          <w:szCs w:val="32"/>
        </w:rPr>
        <w:t>。完善餐饮场所安全管理工作职责</w:t>
      </w:r>
      <w:r>
        <w:rPr>
          <w:rFonts w:eastAsia="仿宋_GB2312"/>
          <w:sz w:val="32"/>
          <w:szCs w:val="32"/>
        </w:rPr>
        <w:t>，固化规章制度，建立属地</w:t>
      </w:r>
      <w:r>
        <w:rPr>
          <w:rFonts w:hint="eastAsia" w:eastAsia="仿宋_GB2312"/>
          <w:sz w:val="32"/>
          <w:szCs w:val="32"/>
        </w:rPr>
        <w:t>村（社区）</w:t>
      </w:r>
      <w:r>
        <w:rPr>
          <w:rFonts w:eastAsia="仿宋_GB2312"/>
          <w:sz w:val="32"/>
          <w:szCs w:val="32"/>
        </w:rPr>
        <w:t>定期检查、</w:t>
      </w:r>
      <w:r>
        <w:rPr>
          <w:rFonts w:hint="eastAsia" w:eastAsia="仿宋_GB2312"/>
          <w:sz w:val="32"/>
          <w:szCs w:val="32"/>
        </w:rPr>
        <w:t>相关</w:t>
      </w:r>
      <w:r>
        <w:rPr>
          <w:rFonts w:eastAsia="仿宋_GB2312"/>
          <w:sz w:val="32"/>
          <w:szCs w:val="32"/>
        </w:rPr>
        <w:t>部门联合抽查、网格化巡查等长效管理机制，常态</w:t>
      </w:r>
      <w:r>
        <w:rPr>
          <w:rFonts w:hint="eastAsia" w:eastAsia="仿宋_GB2312"/>
          <w:sz w:val="32"/>
          <w:szCs w:val="32"/>
        </w:rPr>
        <w:t>化</w:t>
      </w:r>
      <w:r>
        <w:rPr>
          <w:rFonts w:eastAsia="仿宋_GB2312"/>
          <w:sz w:val="32"/>
          <w:szCs w:val="32"/>
        </w:rPr>
        <w:t>落实安全用气宣传和警示教育</w:t>
      </w:r>
      <w:r>
        <w:rPr>
          <w:rFonts w:hint="eastAsia" w:eastAsia="仿宋_GB2312"/>
          <w:sz w:val="32"/>
          <w:szCs w:val="32"/>
        </w:rPr>
        <w:t>制度</w:t>
      </w:r>
      <w:r>
        <w:rPr>
          <w:rFonts w:eastAsia="仿宋_GB2312"/>
          <w:sz w:val="32"/>
          <w:szCs w:val="32"/>
        </w:rPr>
        <w:t>。</w:t>
      </w:r>
    </w:p>
    <w:p>
      <w:pPr>
        <w:keepNext w:val="0"/>
        <w:keepLines w:val="0"/>
        <w:pageBreakBefore w:val="0"/>
        <w:kinsoku/>
        <w:wordWrap/>
        <w:overflowPunct/>
        <w:topLinePunct w:val="0"/>
        <w:bidi w:val="0"/>
        <w:adjustRightInd w:val="0"/>
        <w:snapToGrid w:val="0"/>
        <w:spacing w:beforeAutospacing="0" w:line="520" w:lineRule="exact"/>
        <w:ind w:firstLine="640" w:firstLineChars="200"/>
        <w:textAlignment w:val="auto"/>
        <w:rPr>
          <w:rFonts w:eastAsia="黑体" w:cs="楷体_GB2312"/>
          <w:bCs/>
          <w:color w:val="000000"/>
          <w:kern w:val="24"/>
          <w:sz w:val="32"/>
          <w:szCs w:val="32"/>
        </w:rPr>
      </w:pPr>
      <w:r>
        <w:rPr>
          <w:rFonts w:hint="eastAsia" w:eastAsia="黑体" w:cs="黑体"/>
          <w:kern w:val="0"/>
          <w:sz w:val="32"/>
          <w:szCs w:val="32"/>
        </w:rPr>
        <w:t>四、鼓励措施</w:t>
      </w:r>
    </w:p>
    <w:p>
      <w:pPr>
        <w:keepNext w:val="0"/>
        <w:keepLines w:val="0"/>
        <w:pageBreakBefore w:val="0"/>
        <w:kinsoku/>
        <w:wordWrap/>
        <w:overflowPunct/>
        <w:topLinePunct w:val="0"/>
        <w:bidi w:val="0"/>
        <w:adjustRightInd w:val="0"/>
        <w:snapToGrid w:val="0"/>
        <w:spacing w:beforeAutospacing="0" w:line="520" w:lineRule="exact"/>
        <w:ind w:firstLine="640" w:firstLineChars="200"/>
        <w:textAlignment w:val="auto"/>
        <w:rPr>
          <w:rFonts w:eastAsia="仿宋_GB2312"/>
          <w:sz w:val="32"/>
          <w:szCs w:val="32"/>
        </w:rPr>
      </w:pPr>
      <w:r>
        <w:rPr>
          <w:rFonts w:hint="eastAsia" w:eastAsia="仿宋_GB2312"/>
          <w:sz w:val="32"/>
          <w:szCs w:val="32"/>
        </w:rPr>
        <w:t>（一）对</w:t>
      </w:r>
      <w:r>
        <w:rPr>
          <w:rFonts w:eastAsia="仿宋_GB2312"/>
          <w:sz w:val="32"/>
          <w:szCs w:val="32"/>
        </w:rPr>
        <w:t>依法取得营业执照</w:t>
      </w:r>
      <w:r>
        <w:rPr>
          <w:rFonts w:hint="eastAsia" w:eastAsia="仿宋_GB2312"/>
          <w:sz w:val="32"/>
          <w:szCs w:val="32"/>
        </w:rPr>
        <w:t>和</w:t>
      </w:r>
      <w:r>
        <w:rPr>
          <w:rFonts w:eastAsia="仿宋_GB2312"/>
          <w:sz w:val="32"/>
          <w:szCs w:val="32"/>
        </w:rPr>
        <w:t>食品经营许可证</w:t>
      </w:r>
      <w:r>
        <w:rPr>
          <w:rFonts w:hint="eastAsia" w:eastAsia="仿宋_GB2312"/>
          <w:sz w:val="32"/>
          <w:szCs w:val="32"/>
        </w:rPr>
        <w:t>、</w:t>
      </w:r>
      <w:r>
        <w:rPr>
          <w:rFonts w:eastAsia="仿宋_GB2312"/>
          <w:sz w:val="32"/>
          <w:szCs w:val="32"/>
        </w:rPr>
        <w:t>处于天然气管网覆盖100米范围</w:t>
      </w:r>
      <w:r>
        <w:rPr>
          <w:rFonts w:hint="eastAsia" w:eastAsia="仿宋_GB2312"/>
          <w:sz w:val="32"/>
          <w:szCs w:val="32"/>
        </w:rPr>
        <w:t>内且</w:t>
      </w:r>
      <w:r>
        <w:rPr>
          <w:rFonts w:eastAsia="仿宋_GB2312"/>
          <w:sz w:val="32"/>
          <w:szCs w:val="32"/>
        </w:rPr>
        <w:t>符合管道天然气商业配套安装基本要求</w:t>
      </w:r>
      <w:r>
        <w:rPr>
          <w:rFonts w:hint="eastAsia" w:eastAsia="仿宋_GB2312"/>
          <w:sz w:val="32"/>
          <w:szCs w:val="32"/>
        </w:rPr>
        <w:t>（附件2）的餐饮经营场所，实施“瓶改管”给予政策鼓励，具体：</w:t>
      </w:r>
    </w:p>
    <w:p>
      <w:pPr>
        <w:keepNext w:val="0"/>
        <w:keepLines w:val="0"/>
        <w:pageBreakBefore w:val="0"/>
        <w:kinsoku/>
        <w:wordWrap/>
        <w:overflowPunct/>
        <w:topLinePunct w:val="0"/>
        <w:bidi w:val="0"/>
        <w:adjustRightInd w:val="0"/>
        <w:snapToGrid w:val="0"/>
        <w:spacing w:beforeAutospacing="0" w:line="520" w:lineRule="exact"/>
        <w:ind w:firstLine="640" w:firstLineChars="200"/>
        <w:textAlignment w:val="auto"/>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户外市政管网建设费用由管道燃气公司承担</w:t>
      </w:r>
      <w:r>
        <w:rPr>
          <w:rFonts w:hint="eastAsia" w:eastAsia="仿宋_GB2312"/>
          <w:sz w:val="32"/>
          <w:szCs w:val="32"/>
        </w:rPr>
        <w:t>；“瓶改管”造成的市政道路、绿化等修复费用由园镇承担，列入锦丰片区老旧小区天然气入户修复工程项目一并结算。</w:t>
      </w:r>
    </w:p>
    <w:p>
      <w:pPr>
        <w:keepNext w:val="0"/>
        <w:keepLines w:val="0"/>
        <w:pageBreakBefore w:val="0"/>
        <w:kinsoku/>
        <w:wordWrap/>
        <w:overflowPunct/>
        <w:topLinePunct w:val="0"/>
        <w:bidi w:val="0"/>
        <w:adjustRightInd w:val="0"/>
        <w:snapToGrid w:val="0"/>
        <w:spacing w:beforeAutospacing="0" w:line="520" w:lineRule="exact"/>
        <w:ind w:firstLine="640" w:firstLineChars="200"/>
        <w:textAlignment w:val="auto"/>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户</w:t>
      </w:r>
      <w:r>
        <w:rPr>
          <w:rFonts w:hint="eastAsia" w:eastAsia="仿宋_GB2312"/>
          <w:sz w:val="32"/>
          <w:szCs w:val="32"/>
        </w:rPr>
        <w:t>内“瓶改管”改造建设费用及补贴政策：“瓶改管”改造</w:t>
      </w:r>
      <w:r>
        <w:rPr>
          <w:rFonts w:eastAsia="仿宋_GB2312"/>
          <w:sz w:val="32"/>
          <w:szCs w:val="32"/>
        </w:rPr>
        <w:t>户内建设费用，包含燃气泄漏安全保护装置的材料和安装费用</w:t>
      </w:r>
      <w:r>
        <w:rPr>
          <w:rFonts w:hint="eastAsia" w:eastAsia="仿宋_GB2312"/>
          <w:sz w:val="32"/>
          <w:szCs w:val="32"/>
        </w:rPr>
        <w:t>，</w:t>
      </w:r>
      <w:r>
        <w:rPr>
          <w:rFonts w:eastAsia="仿宋_GB2312"/>
          <w:sz w:val="32"/>
          <w:szCs w:val="32"/>
        </w:rPr>
        <w:t>按照最大设计流量6Nm3/h、10Nm3/h、16Nm3/h、25Nm3/h，收费标准分别不高于12000元、18000元、26000元、32000元。</w:t>
      </w:r>
      <w:r>
        <w:rPr>
          <w:rFonts w:hint="eastAsia" w:eastAsia="仿宋_GB2312"/>
          <w:sz w:val="32"/>
          <w:szCs w:val="32"/>
        </w:rPr>
        <w:t>“瓶改管”改造</w:t>
      </w:r>
      <w:r>
        <w:rPr>
          <w:rFonts w:eastAsia="仿宋_GB2312"/>
          <w:sz w:val="32"/>
          <w:szCs w:val="32"/>
        </w:rPr>
        <w:t>户内建设费用由商户承担，按照标准费用的50%进行补贴，由管道燃气公司</w:t>
      </w:r>
      <w:r>
        <w:rPr>
          <w:rFonts w:hint="eastAsia" w:eastAsia="仿宋_GB2312"/>
          <w:sz w:val="32"/>
          <w:szCs w:val="32"/>
        </w:rPr>
        <w:t>在</w:t>
      </w:r>
      <w:r>
        <w:rPr>
          <w:rFonts w:eastAsia="仿宋_GB2312"/>
          <w:sz w:val="32"/>
          <w:szCs w:val="32"/>
        </w:rPr>
        <w:t>收取户内建设费用时直接减免。</w:t>
      </w:r>
    </w:p>
    <w:p>
      <w:pPr>
        <w:keepNext w:val="0"/>
        <w:keepLines w:val="0"/>
        <w:pageBreakBefore w:val="0"/>
        <w:kinsoku/>
        <w:wordWrap/>
        <w:overflowPunct/>
        <w:topLinePunct w:val="0"/>
        <w:bidi w:val="0"/>
        <w:adjustRightInd w:val="0"/>
        <w:snapToGrid w:val="0"/>
        <w:spacing w:beforeAutospacing="0" w:line="520" w:lineRule="exact"/>
        <w:ind w:firstLine="640" w:firstLineChars="200"/>
        <w:textAlignment w:val="auto"/>
        <w:rPr>
          <w:rFonts w:eastAsia="仿宋_GB2312"/>
          <w:sz w:val="32"/>
          <w:szCs w:val="32"/>
        </w:rPr>
      </w:pPr>
      <w:r>
        <w:rPr>
          <w:rFonts w:hint="eastAsia" w:eastAsia="仿宋_GB2312"/>
          <w:sz w:val="32"/>
          <w:szCs w:val="32"/>
        </w:rPr>
        <w:t>（二）对</w:t>
      </w:r>
      <w:r>
        <w:rPr>
          <w:rFonts w:eastAsia="仿宋_GB2312"/>
          <w:sz w:val="32"/>
          <w:szCs w:val="32"/>
        </w:rPr>
        <w:t>依法取得营业执照</w:t>
      </w:r>
      <w:r>
        <w:rPr>
          <w:rFonts w:hint="eastAsia" w:eastAsia="仿宋_GB2312"/>
          <w:sz w:val="32"/>
          <w:szCs w:val="32"/>
        </w:rPr>
        <w:t>和</w:t>
      </w:r>
      <w:r>
        <w:rPr>
          <w:rFonts w:eastAsia="仿宋_GB2312"/>
          <w:sz w:val="32"/>
          <w:szCs w:val="32"/>
        </w:rPr>
        <w:t>食品经营许可证</w:t>
      </w:r>
      <w:r>
        <w:rPr>
          <w:rFonts w:hint="eastAsia" w:eastAsia="仿宋_GB2312"/>
          <w:sz w:val="32"/>
          <w:szCs w:val="32"/>
        </w:rPr>
        <w:t>、不符合“瓶改管”条件且</w:t>
      </w:r>
      <w:r>
        <w:rPr>
          <w:rFonts w:eastAsia="仿宋_GB2312"/>
          <w:sz w:val="32"/>
          <w:szCs w:val="32"/>
        </w:rPr>
        <w:t>自愿实施</w:t>
      </w:r>
      <w:r>
        <w:rPr>
          <w:rFonts w:hint="eastAsia" w:eastAsia="仿宋_GB2312"/>
          <w:sz w:val="32"/>
          <w:szCs w:val="32"/>
        </w:rPr>
        <w:t>“瓶改电”的餐饮经营场所，给予政策鼓励，具体：</w:t>
      </w:r>
    </w:p>
    <w:p>
      <w:pPr>
        <w:keepNext w:val="0"/>
        <w:keepLines w:val="0"/>
        <w:pageBreakBefore w:val="0"/>
        <w:kinsoku/>
        <w:wordWrap/>
        <w:overflowPunct/>
        <w:topLinePunct w:val="0"/>
        <w:bidi w:val="0"/>
        <w:adjustRightInd w:val="0"/>
        <w:snapToGrid w:val="0"/>
        <w:spacing w:beforeAutospacing="0" w:line="520" w:lineRule="exact"/>
        <w:ind w:firstLine="640" w:firstLineChars="200"/>
        <w:textAlignment w:val="auto"/>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户外电网增扩容费用</w:t>
      </w:r>
      <w:r>
        <w:rPr>
          <w:rFonts w:hint="eastAsia" w:eastAsia="仿宋_GB2312"/>
          <w:sz w:val="32"/>
          <w:szCs w:val="32"/>
        </w:rPr>
        <w:t>：</w:t>
      </w:r>
      <w:r>
        <w:rPr>
          <w:rFonts w:eastAsia="仿宋_GB2312"/>
          <w:sz w:val="32"/>
          <w:szCs w:val="32"/>
        </w:rPr>
        <w:t>对于单个用户（以供电公司开户名为准）报装容量200千伏安及以下</w:t>
      </w:r>
      <w:r>
        <w:rPr>
          <w:rFonts w:hint="eastAsia" w:eastAsia="仿宋_GB2312"/>
          <w:sz w:val="32"/>
          <w:szCs w:val="32"/>
        </w:rPr>
        <w:t>“瓶改电”改造</w:t>
      </w:r>
      <w:r>
        <w:rPr>
          <w:rFonts w:eastAsia="仿宋_GB2312"/>
          <w:sz w:val="32"/>
          <w:szCs w:val="32"/>
        </w:rPr>
        <w:t>扩增容项目全面实</w:t>
      </w:r>
      <w:r>
        <w:rPr>
          <w:rFonts w:hint="eastAsia" w:eastAsia="仿宋_GB2312"/>
          <w:sz w:val="32"/>
          <w:szCs w:val="32"/>
        </w:rPr>
        <w:t>行“三零”（零上门、零审批、零投资）服务。</w:t>
      </w:r>
    </w:p>
    <w:p>
      <w:pPr>
        <w:keepNext w:val="0"/>
        <w:keepLines w:val="0"/>
        <w:pageBreakBefore w:val="0"/>
        <w:kinsoku/>
        <w:wordWrap/>
        <w:overflowPunct/>
        <w:topLinePunct w:val="0"/>
        <w:bidi w:val="0"/>
        <w:adjustRightInd w:val="0"/>
        <w:snapToGrid w:val="0"/>
        <w:spacing w:beforeAutospacing="0" w:line="520" w:lineRule="exact"/>
        <w:ind w:firstLine="640" w:firstLineChars="200"/>
        <w:textAlignment w:val="auto"/>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户内</w:t>
      </w:r>
      <w:r>
        <w:rPr>
          <w:rFonts w:hint="eastAsia" w:eastAsia="仿宋_GB2312"/>
          <w:sz w:val="32"/>
          <w:szCs w:val="32"/>
        </w:rPr>
        <w:t>“瓶改电”改造建</w:t>
      </w:r>
      <w:r>
        <w:rPr>
          <w:rFonts w:eastAsia="仿宋_GB2312"/>
          <w:sz w:val="32"/>
          <w:szCs w:val="32"/>
        </w:rPr>
        <w:t>设费用及补贴政策</w:t>
      </w:r>
      <w:r>
        <w:rPr>
          <w:rFonts w:hint="eastAsia" w:eastAsia="仿宋_GB2312"/>
          <w:sz w:val="32"/>
          <w:szCs w:val="32"/>
        </w:rPr>
        <w:t>：</w:t>
      </w:r>
      <w:r>
        <w:rPr>
          <w:rFonts w:eastAsia="仿宋_GB2312"/>
          <w:sz w:val="32"/>
          <w:szCs w:val="32"/>
        </w:rPr>
        <w:t>户内</w:t>
      </w:r>
      <w:r>
        <w:rPr>
          <w:rFonts w:hint="eastAsia" w:eastAsia="仿宋_GB2312"/>
          <w:sz w:val="32"/>
          <w:szCs w:val="32"/>
        </w:rPr>
        <w:t>“瓶改电”改造建</w:t>
      </w:r>
      <w:r>
        <w:rPr>
          <w:rFonts w:eastAsia="仿宋_GB2312"/>
          <w:sz w:val="32"/>
          <w:szCs w:val="32"/>
        </w:rPr>
        <w:t>设费用由</w:t>
      </w:r>
      <w:r>
        <w:rPr>
          <w:rFonts w:eastAsia="仿宋_GB2312"/>
          <w:sz w:val="32"/>
          <w:szCs w:val="32"/>
          <w:lang w:val="zh-CN"/>
        </w:rPr>
        <w:t>餐饮</w:t>
      </w:r>
      <w:r>
        <w:rPr>
          <w:rFonts w:eastAsia="仿宋_GB2312"/>
          <w:sz w:val="32"/>
          <w:szCs w:val="32"/>
        </w:rPr>
        <w:t>商户承担，根据</w:t>
      </w:r>
      <w:r>
        <w:rPr>
          <w:rFonts w:eastAsia="仿宋_GB2312"/>
          <w:sz w:val="32"/>
          <w:szCs w:val="32"/>
          <w:lang w:val="zh-CN"/>
        </w:rPr>
        <w:t>自行购置电热炊具的电功率数</w:t>
      </w:r>
      <w:r>
        <w:rPr>
          <w:rFonts w:eastAsia="仿宋_GB2312"/>
          <w:sz w:val="32"/>
          <w:szCs w:val="32"/>
        </w:rPr>
        <w:t>，按300元/KW的标准补贴，补贴上限为10000元。</w:t>
      </w:r>
      <w:r>
        <w:rPr>
          <w:rFonts w:hint="eastAsia" w:eastAsia="仿宋_GB2312"/>
          <w:sz w:val="32"/>
          <w:szCs w:val="32"/>
        </w:rPr>
        <w:t>其中园（镇）财政承担5</w:t>
      </w:r>
      <w:r>
        <w:rPr>
          <w:rFonts w:eastAsia="仿宋_GB2312"/>
          <w:sz w:val="32"/>
          <w:szCs w:val="32"/>
        </w:rPr>
        <w:t>0</w:t>
      </w:r>
      <w:r>
        <w:rPr>
          <w:rFonts w:hint="eastAsia" w:eastAsia="仿宋_GB2312"/>
          <w:sz w:val="32"/>
          <w:szCs w:val="32"/>
        </w:rPr>
        <w:t>%，</w:t>
      </w:r>
      <w:r>
        <w:rPr>
          <w:rFonts w:eastAsia="仿宋_GB2312"/>
          <w:sz w:val="32"/>
          <w:szCs w:val="32"/>
        </w:rPr>
        <w:t>市级财政承担</w:t>
      </w:r>
      <w:r>
        <w:rPr>
          <w:rFonts w:hint="eastAsia" w:eastAsia="仿宋_GB2312"/>
          <w:sz w:val="32"/>
          <w:szCs w:val="32"/>
        </w:rPr>
        <w:t>5</w:t>
      </w:r>
      <w:r>
        <w:rPr>
          <w:rFonts w:eastAsia="仿宋_GB2312"/>
          <w:sz w:val="32"/>
          <w:szCs w:val="32"/>
        </w:rPr>
        <w:t>0</w:t>
      </w:r>
      <w:r>
        <w:rPr>
          <w:rFonts w:hint="eastAsia" w:eastAsia="仿宋_GB2312"/>
          <w:sz w:val="32"/>
          <w:szCs w:val="32"/>
        </w:rPr>
        <w:t>%。</w:t>
      </w:r>
    </w:p>
    <w:p>
      <w:pPr>
        <w:keepNext w:val="0"/>
        <w:keepLines w:val="0"/>
        <w:pageBreakBefore w:val="0"/>
        <w:kinsoku/>
        <w:wordWrap/>
        <w:overflowPunct/>
        <w:topLinePunct w:val="0"/>
        <w:bidi w:val="0"/>
        <w:adjustRightInd w:val="0"/>
        <w:snapToGrid w:val="0"/>
        <w:spacing w:beforeAutospacing="0" w:line="520" w:lineRule="exact"/>
        <w:ind w:firstLine="640" w:firstLineChars="200"/>
        <w:textAlignment w:val="auto"/>
        <w:rPr>
          <w:rFonts w:eastAsia="黑体"/>
          <w:sz w:val="32"/>
          <w:szCs w:val="32"/>
        </w:rPr>
      </w:pPr>
      <w:r>
        <w:rPr>
          <w:rFonts w:hint="eastAsia" w:eastAsia="黑体" w:cs="黑体"/>
          <w:sz w:val="32"/>
          <w:szCs w:val="32"/>
        </w:rPr>
        <w:t>五、责任分工</w:t>
      </w:r>
    </w:p>
    <w:p>
      <w:pPr>
        <w:keepNext w:val="0"/>
        <w:keepLines w:val="0"/>
        <w:pageBreakBefore w:val="0"/>
        <w:kinsoku/>
        <w:wordWrap/>
        <w:overflowPunct/>
        <w:topLinePunct w:val="0"/>
        <w:bidi w:val="0"/>
        <w:adjustRightInd w:val="0"/>
        <w:snapToGrid w:val="0"/>
        <w:spacing w:beforeAutospacing="0" w:line="520" w:lineRule="exact"/>
        <w:ind w:firstLine="643" w:firstLineChars="200"/>
        <w:textAlignment w:val="auto"/>
        <w:rPr>
          <w:rFonts w:eastAsia="仿宋_GB2312"/>
          <w:sz w:val="32"/>
          <w:szCs w:val="32"/>
        </w:rPr>
      </w:pPr>
      <w:r>
        <w:rPr>
          <w:rFonts w:hint="eastAsia" w:eastAsia="楷体_GB2312"/>
          <w:b/>
          <w:sz w:val="32"/>
          <w:szCs w:val="32"/>
        </w:rPr>
        <w:t>园（镇）餐饮场所“瓶改管、瓶改电”工作专班：</w:t>
      </w:r>
      <w:r>
        <w:rPr>
          <w:rFonts w:eastAsia="仿宋_GB2312"/>
          <w:sz w:val="32"/>
          <w:szCs w:val="32"/>
        </w:rPr>
        <w:t>负责统筹餐饮场所</w:t>
      </w:r>
      <w:r>
        <w:rPr>
          <w:rFonts w:hint="eastAsia" w:eastAsia="仿宋_GB2312"/>
          <w:sz w:val="32"/>
          <w:szCs w:val="32"/>
        </w:rPr>
        <w:t>“瓶改管、瓶改电”改造工作</w:t>
      </w:r>
      <w:r>
        <w:rPr>
          <w:rFonts w:eastAsia="仿宋_GB2312"/>
          <w:sz w:val="32"/>
          <w:szCs w:val="32"/>
        </w:rPr>
        <w:t>，制定</w:t>
      </w:r>
      <w:r>
        <w:rPr>
          <w:rFonts w:hint="eastAsia" w:eastAsia="仿宋_GB2312"/>
          <w:sz w:val="32"/>
          <w:szCs w:val="32"/>
        </w:rPr>
        <w:t>“瓶改电”</w:t>
      </w:r>
      <w:r>
        <w:rPr>
          <w:rFonts w:eastAsia="仿宋_GB2312"/>
          <w:sz w:val="32"/>
          <w:szCs w:val="32"/>
        </w:rPr>
        <w:t>补贴实施细则，及时协调解决实施过程中的相关问题</w:t>
      </w:r>
      <w:r>
        <w:rPr>
          <w:rFonts w:hint="eastAsia" w:eastAsia="仿宋_GB2312"/>
          <w:sz w:val="32"/>
          <w:szCs w:val="32"/>
        </w:rPr>
        <w:t>，</w:t>
      </w:r>
      <w:r>
        <w:rPr>
          <w:rFonts w:eastAsia="仿宋_GB2312"/>
          <w:sz w:val="32"/>
          <w:szCs w:val="32"/>
        </w:rPr>
        <w:t>做好进度统计、信息上报、督办通报；督促</w:t>
      </w:r>
      <w:r>
        <w:rPr>
          <w:rFonts w:hint="eastAsia" w:eastAsia="仿宋_GB2312"/>
          <w:sz w:val="32"/>
          <w:szCs w:val="32"/>
        </w:rPr>
        <w:t>各办事处（综合服务办）、村（社区）</w:t>
      </w:r>
      <w:r>
        <w:rPr>
          <w:rFonts w:eastAsia="仿宋_GB2312"/>
          <w:sz w:val="32"/>
          <w:szCs w:val="32"/>
        </w:rPr>
        <w:t>、相关部门全力推进改造工作的实施。</w:t>
      </w:r>
    </w:p>
    <w:p>
      <w:pPr>
        <w:keepNext w:val="0"/>
        <w:keepLines w:val="0"/>
        <w:pageBreakBefore w:val="0"/>
        <w:kinsoku/>
        <w:wordWrap/>
        <w:overflowPunct/>
        <w:topLinePunct w:val="0"/>
        <w:autoSpaceDE w:val="0"/>
        <w:autoSpaceDN w:val="0"/>
        <w:bidi w:val="0"/>
        <w:spacing w:beforeAutospacing="0" w:line="520" w:lineRule="exact"/>
        <w:ind w:firstLine="643" w:firstLineChars="200"/>
        <w:textAlignment w:val="auto"/>
      </w:pPr>
      <w:r>
        <w:rPr>
          <w:rFonts w:hint="eastAsia" w:eastAsia="楷体_GB2312"/>
          <w:b/>
          <w:sz w:val="32"/>
          <w:szCs w:val="32"/>
        </w:rPr>
        <w:t>园规建局：</w:t>
      </w:r>
      <w:r>
        <w:rPr>
          <w:rFonts w:hint="eastAsia" w:ascii="仿宋" w:hAnsi="仿宋" w:eastAsia="仿宋" w:cs="仿宋"/>
          <w:bCs/>
          <w:sz w:val="32"/>
          <w:szCs w:val="32"/>
        </w:rPr>
        <w:t>牵头制定“瓶改管”、“瓶改电”工作实施方案；</w:t>
      </w:r>
      <w:r>
        <w:rPr>
          <w:rFonts w:eastAsia="仿宋_GB2312"/>
          <w:kern w:val="0"/>
          <w:sz w:val="32"/>
          <w:szCs w:val="32"/>
        </w:rPr>
        <w:t>督促指导餐饮场所</w:t>
      </w:r>
      <w:r>
        <w:rPr>
          <w:rFonts w:hint="eastAsia" w:eastAsia="仿宋_GB2312"/>
          <w:kern w:val="0"/>
          <w:sz w:val="32"/>
          <w:szCs w:val="32"/>
        </w:rPr>
        <w:t>“瓶改管”工作；</w:t>
      </w:r>
      <w:r>
        <w:rPr>
          <w:rFonts w:hint="eastAsia" w:ascii="仿宋" w:hAnsi="仿宋" w:eastAsia="仿宋" w:cs="仿宋"/>
          <w:sz w:val="32"/>
          <w:szCs w:val="32"/>
        </w:rPr>
        <w:t>完成相关市政管线路由选址报批手续的办理；完善城市道路挖掘审批事项。对所管辖范围内“瓶改管”建设项目施工涉及的</w:t>
      </w:r>
      <w:r>
        <w:rPr>
          <w:rFonts w:eastAsia="仿宋_GB2312"/>
          <w:sz w:val="32"/>
          <w:szCs w:val="32"/>
        </w:rPr>
        <w:t>市政设施、绿化开挖提供支持</w:t>
      </w:r>
      <w:r>
        <w:rPr>
          <w:rFonts w:hint="eastAsia" w:eastAsia="仿宋_GB2312"/>
          <w:sz w:val="32"/>
          <w:szCs w:val="32"/>
        </w:rPr>
        <w:t>；</w:t>
      </w:r>
      <w:r>
        <w:rPr>
          <w:rFonts w:eastAsia="仿宋_GB2312"/>
          <w:sz w:val="32"/>
          <w:szCs w:val="32"/>
        </w:rPr>
        <w:t>做好数据收集和上报工作。</w:t>
      </w:r>
    </w:p>
    <w:p>
      <w:pPr>
        <w:keepNext w:val="0"/>
        <w:keepLines w:val="0"/>
        <w:pageBreakBefore w:val="0"/>
        <w:kinsoku/>
        <w:wordWrap/>
        <w:overflowPunct/>
        <w:topLinePunct w:val="0"/>
        <w:autoSpaceDE w:val="0"/>
        <w:autoSpaceDN w:val="0"/>
        <w:bidi w:val="0"/>
        <w:spacing w:beforeAutospacing="0" w:line="520" w:lineRule="exact"/>
        <w:ind w:firstLine="643" w:firstLineChars="200"/>
        <w:textAlignment w:val="auto"/>
        <w:rPr>
          <w:rFonts w:eastAsia="仿宋_GB2312"/>
          <w:kern w:val="0"/>
          <w:sz w:val="32"/>
          <w:szCs w:val="32"/>
          <w:lang w:val="zh-CN"/>
        </w:rPr>
      </w:pPr>
      <w:r>
        <w:rPr>
          <w:rFonts w:hint="eastAsia" w:eastAsia="楷体_GB2312"/>
          <w:b/>
          <w:sz w:val="32"/>
          <w:szCs w:val="32"/>
        </w:rPr>
        <w:t>园经服局：</w:t>
      </w:r>
      <w:r>
        <w:rPr>
          <w:rFonts w:eastAsia="仿宋_GB2312"/>
          <w:kern w:val="0"/>
          <w:sz w:val="32"/>
          <w:szCs w:val="32"/>
        </w:rPr>
        <w:t>督促指导餐饮场所</w:t>
      </w:r>
      <w:r>
        <w:rPr>
          <w:rFonts w:hint="eastAsia" w:eastAsia="仿宋_GB2312"/>
          <w:kern w:val="0"/>
          <w:sz w:val="32"/>
          <w:szCs w:val="32"/>
        </w:rPr>
        <w:t>“瓶改电”</w:t>
      </w:r>
      <w:r>
        <w:rPr>
          <w:rFonts w:eastAsia="仿宋_GB2312"/>
          <w:kern w:val="0"/>
          <w:sz w:val="32"/>
          <w:szCs w:val="32"/>
        </w:rPr>
        <w:t>工作；组织实施</w:t>
      </w:r>
      <w:r>
        <w:rPr>
          <w:rFonts w:hint="eastAsia" w:eastAsia="仿宋_GB2312"/>
          <w:kern w:val="0"/>
          <w:sz w:val="32"/>
          <w:szCs w:val="32"/>
        </w:rPr>
        <w:t>“瓶改电”验收；</w:t>
      </w:r>
      <w:r>
        <w:rPr>
          <w:rFonts w:eastAsia="仿宋_GB2312"/>
          <w:sz w:val="32"/>
          <w:szCs w:val="32"/>
        </w:rPr>
        <w:t>会同</w:t>
      </w:r>
      <w:r>
        <w:rPr>
          <w:rFonts w:hint="eastAsia" w:eastAsia="仿宋_GB2312"/>
          <w:sz w:val="32"/>
          <w:szCs w:val="32"/>
        </w:rPr>
        <w:t>园财资局</w:t>
      </w:r>
      <w:r>
        <w:rPr>
          <w:rFonts w:eastAsia="仿宋_GB2312"/>
          <w:sz w:val="32"/>
          <w:szCs w:val="32"/>
        </w:rPr>
        <w:t>对各</w:t>
      </w:r>
      <w:r>
        <w:rPr>
          <w:rFonts w:hint="eastAsia" w:eastAsia="仿宋_GB2312"/>
          <w:sz w:val="32"/>
          <w:szCs w:val="32"/>
        </w:rPr>
        <w:t>村（社区）</w:t>
      </w:r>
      <w:r>
        <w:rPr>
          <w:rFonts w:eastAsia="仿宋_GB2312"/>
          <w:sz w:val="32"/>
          <w:szCs w:val="32"/>
        </w:rPr>
        <w:t>上报的补贴申报材料进行复核、审计等</w:t>
      </w:r>
      <w:r>
        <w:rPr>
          <w:rFonts w:eastAsia="仿宋_GB2312"/>
          <w:kern w:val="0"/>
          <w:sz w:val="32"/>
          <w:szCs w:val="32"/>
          <w:lang w:val="zh-CN"/>
        </w:rPr>
        <w:t>。</w:t>
      </w:r>
    </w:p>
    <w:p>
      <w:pPr>
        <w:keepNext w:val="0"/>
        <w:keepLines w:val="0"/>
        <w:pageBreakBefore w:val="0"/>
        <w:kinsoku/>
        <w:wordWrap/>
        <w:overflowPunct/>
        <w:topLinePunct w:val="0"/>
        <w:autoSpaceDE w:val="0"/>
        <w:autoSpaceDN w:val="0"/>
        <w:bidi w:val="0"/>
        <w:spacing w:beforeAutospacing="0" w:line="520" w:lineRule="exact"/>
        <w:ind w:firstLine="643" w:firstLineChars="200"/>
        <w:textAlignment w:val="auto"/>
        <w:rPr>
          <w:rFonts w:eastAsia="楷体_GB2312"/>
          <w:bCs/>
          <w:color w:val="0000FF"/>
          <w:sz w:val="32"/>
          <w:szCs w:val="32"/>
        </w:rPr>
      </w:pPr>
      <w:r>
        <w:rPr>
          <w:rFonts w:hint="eastAsia" w:eastAsia="楷体_GB2312"/>
          <w:b/>
          <w:sz w:val="32"/>
          <w:szCs w:val="32"/>
        </w:rPr>
        <w:t>各村（社区）：</w:t>
      </w:r>
      <w:r>
        <w:rPr>
          <w:rFonts w:hint="eastAsia" w:ascii="仿宋" w:hAnsi="仿宋" w:eastAsia="仿宋" w:cs="仿宋"/>
          <w:bCs/>
          <w:sz w:val="32"/>
          <w:szCs w:val="32"/>
        </w:rPr>
        <w:t>负责辖区内餐饮用户“改管、改电”的具体实施工作。</w:t>
      </w:r>
      <w:r>
        <w:rPr>
          <w:rFonts w:hint="eastAsia" w:eastAsia="仿宋_GB2312"/>
          <w:sz w:val="32"/>
          <w:szCs w:val="32"/>
        </w:rPr>
        <w:t>逐户宣讲餐饮场所“改管、改电”相关政策，确保辖区内餐饮经营场所对政策知晓率100%；全力协调动员，争取具备改造条件的餐饮用户能改尽改；对村级资产出租的餐饮经营场所率先完成“瓶改管、瓶改电”，发挥示范引领作用。</w:t>
      </w:r>
    </w:p>
    <w:p>
      <w:pPr>
        <w:keepNext w:val="0"/>
        <w:keepLines w:val="0"/>
        <w:pageBreakBefore w:val="0"/>
        <w:kinsoku/>
        <w:wordWrap/>
        <w:overflowPunct/>
        <w:topLinePunct w:val="0"/>
        <w:autoSpaceDE w:val="0"/>
        <w:autoSpaceDN w:val="0"/>
        <w:bidi w:val="0"/>
        <w:spacing w:beforeAutospacing="0" w:line="520" w:lineRule="exact"/>
        <w:ind w:firstLine="643" w:firstLineChars="200"/>
        <w:textAlignment w:val="auto"/>
        <w:rPr>
          <w:rFonts w:eastAsia="仿宋_GB2312"/>
          <w:sz w:val="32"/>
          <w:szCs w:val="32"/>
        </w:rPr>
      </w:pPr>
      <w:r>
        <w:rPr>
          <w:rFonts w:hint="eastAsia" w:eastAsia="楷体_GB2312"/>
          <w:b/>
          <w:sz w:val="32"/>
          <w:szCs w:val="32"/>
        </w:rPr>
        <w:t>园沙洲新城管理公司、市场管理公司等单位：</w:t>
      </w:r>
      <w:r>
        <w:rPr>
          <w:rFonts w:hint="eastAsia" w:eastAsia="仿宋_GB2312"/>
          <w:sz w:val="32"/>
          <w:szCs w:val="32"/>
        </w:rPr>
        <w:t>对本公司资产出租用于</w:t>
      </w:r>
      <w:r>
        <w:rPr>
          <w:rFonts w:eastAsia="仿宋_GB2312"/>
          <w:sz w:val="32"/>
          <w:szCs w:val="32"/>
        </w:rPr>
        <w:t>餐饮</w:t>
      </w:r>
      <w:r>
        <w:rPr>
          <w:rFonts w:hint="eastAsia" w:eastAsia="仿宋_GB2312"/>
          <w:sz w:val="32"/>
          <w:szCs w:val="32"/>
        </w:rPr>
        <w:t>经营的场所开展宣传引导，率先完成“瓶改管、瓶改电”</w:t>
      </w:r>
      <w:r>
        <w:rPr>
          <w:rFonts w:eastAsia="仿宋_GB2312"/>
          <w:sz w:val="32"/>
          <w:szCs w:val="32"/>
        </w:rPr>
        <w:t>工作</w:t>
      </w:r>
      <w:r>
        <w:rPr>
          <w:rFonts w:hint="eastAsia" w:eastAsia="仿宋_GB2312"/>
          <w:sz w:val="32"/>
          <w:szCs w:val="32"/>
        </w:rPr>
        <w:t>，发挥示范引领作用。</w:t>
      </w:r>
    </w:p>
    <w:p>
      <w:pPr>
        <w:keepNext w:val="0"/>
        <w:keepLines w:val="0"/>
        <w:pageBreakBefore w:val="0"/>
        <w:kinsoku/>
        <w:wordWrap/>
        <w:overflowPunct/>
        <w:topLinePunct w:val="0"/>
        <w:autoSpaceDE w:val="0"/>
        <w:autoSpaceDN w:val="0"/>
        <w:bidi w:val="0"/>
        <w:spacing w:beforeAutospacing="0" w:line="520" w:lineRule="exact"/>
        <w:ind w:firstLine="643" w:firstLineChars="200"/>
        <w:textAlignment w:val="auto"/>
        <w:rPr>
          <w:rFonts w:eastAsia="仿宋_GB2312"/>
          <w:sz w:val="32"/>
          <w:szCs w:val="32"/>
        </w:rPr>
      </w:pPr>
      <w:r>
        <w:rPr>
          <w:rFonts w:hint="eastAsia" w:eastAsia="楷体_GB2312"/>
          <w:b/>
          <w:sz w:val="32"/>
          <w:szCs w:val="32"/>
        </w:rPr>
        <w:t>园财资局：</w:t>
      </w:r>
      <w:r>
        <w:rPr>
          <w:rFonts w:hint="eastAsia" w:eastAsia="仿宋_GB2312"/>
          <w:sz w:val="32"/>
          <w:szCs w:val="32"/>
        </w:rPr>
        <w:t>对接市级财政，</w:t>
      </w:r>
      <w:r>
        <w:rPr>
          <w:rFonts w:eastAsia="仿宋_GB2312"/>
          <w:sz w:val="32"/>
          <w:szCs w:val="32"/>
        </w:rPr>
        <w:t>配合落实</w:t>
      </w:r>
      <w:r>
        <w:rPr>
          <w:rFonts w:eastAsia="仿宋_GB2312"/>
          <w:color w:val="000000"/>
          <w:sz w:val="32"/>
          <w:szCs w:val="32"/>
        </w:rPr>
        <w:t>餐饮场</w:t>
      </w:r>
      <w:r>
        <w:rPr>
          <w:rFonts w:hint="eastAsia" w:eastAsia="仿宋_GB2312"/>
          <w:color w:val="000000"/>
          <w:sz w:val="32"/>
          <w:szCs w:val="32"/>
        </w:rPr>
        <w:t>所“瓶改电”改造</w:t>
      </w:r>
      <w:r>
        <w:rPr>
          <w:rFonts w:hint="eastAsia" w:eastAsia="仿宋_GB2312"/>
          <w:sz w:val="32"/>
          <w:szCs w:val="32"/>
        </w:rPr>
        <w:t>补贴</w:t>
      </w:r>
      <w:r>
        <w:rPr>
          <w:rFonts w:eastAsia="仿宋_GB2312"/>
          <w:sz w:val="32"/>
          <w:szCs w:val="32"/>
        </w:rPr>
        <w:t>资金</w:t>
      </w:r>
      <w:r>
        <w:rPr>
          <w:rFonts w:hint="eastAsia" w:eastAsia="仿宋_GB2312"/>
          <w:sz w:val="32"/>
          <w:szCs w:val="32"/>
        </w:rPr>
        <w:t>的</w:t>
      </w:r>
      <w:r>
        <w:rPr>
          <w:rFonts w:eastAsia="仿宋_GB2312"/>
          <w:sz w:val="32"/>
          <w:szCs w:val="32"/>
        </w:rPr>
        <w:t>管理、审核、拨付</w:t>
      </w:r>
      <w:r>
        <w:rPr>
          <w:rFonts w:hint="eastAsia" w:eastAsia="仿宋_GB2312"/>
          <w:sz w:val="32"/>
          <w:szCs w:val="32"/>
        </w:rPr>
        <w:t>；做好</w:t>
      </w:r>
      <w:r>
        <w:rPr>
          <w:rFonts w:eastAsia="仿宋_GB2312"/>
          <w:color w:val="000000"/>
          <w:sz w:val="32"/>
          <w:szCs w:val="32"/>
        </w:rPr>
        <w:t>餐饮场</w:t>
      </w:r>
      <w:r>
        <w:rPr>
          <w:rFonts w:hint="eastAsia" w:eastAsia="仿宋_GB2312"/>
          <w:color w:val="000000"/>
          <w:sz w:val="32"/>
          <w:szCs w:val="32"/>
        </w:rPr>
        <w:t>所“瓶改管”改造</w:t>
      </w:r>
      <w:r>
        <w:rPr>
          <w:rFonts w:hint="eastAsia" w:eastAsia="仿宋_GB2312"/>
          <w:sz w:val="32"/>
          <w:szCs w:val="32"/>
        </w:rPr>
        <w:t>工程涉及施工道路修复、绿化补偿和余土清运等经费保障。</w:t>
      </w:r>
    </w:p>
    <w:p>
      <w:pPr>
        <w:keepNext w:val="0"/>
        <w:keepLines w:val="0"/>
        <w:pageBreakBefore w:val="0"/>
        <w:kinsoku/>
        <w:wordWrap/>
        <w:overflowPunct/>
        <w:topLinePunct w:val="0"/>
        <w:autoSpaceDE w:val="0"/>
        <w:autoSpaceDN w:val="0"/>
        <w:bidi w:val="0"/>
        <w:spacing w:beforeAutospacing="0" w:line="520" w:lineRule="exact"/>
        <w:ind w:firstLine="643" w:firstLineChars="200"/>
        <w:textAlignment w:val="auto"/>
        <w:rPr>
          <w:rFonts w:eastAsia="仿宋_GB2312"/>
          <w:kern w:val="0"/>
          <w:sz w:val="32"/>
          <w:szCs w:val="32"/>
        </w:rPr>
      </w:pPr>
      <w:r>
        <w:rPr>
          <w:rFonts w:hint="eastAsia" w:eastAsia="楷体_GB2312"/>
          <w:b/>
          <w:sz w:val="32"/>
          <w:szCs w:val="32"/>
        </w:rPr>
        <w:t>园“331”机制办：</w:t>
      </w:r>
      <w:r>
        <w:rPr>
          <w:rFonts w:eastAsia="仿宋_GB2312"/>
          <w:kern w:val="0"/>
          <w:sz w:val="32"/>
          <w:szCs w:val="32"/>
          <w:lang w:val="zh-CN"/>
        </w:rPr>
        <w:t>协助开展餐饮场所瓶装燃气使用安全整治工作</w:t>
      </w:r>
      <w:r>
        <w:rPr>
          <w:rFonts w:eastAsia="仿宋_GB2312"/>
          <w:kern w:val="0"/>
          <w:sz w:val="32"/>
          <w:szCs w:val="32"/>
        </w:rPr>
        <w:t>，</w:t>
      </w:r>
      <w:r>
        <w:rPr>
          <w:rFonts w:eastAsia="仿宋_GB2312"/>
          <w:kern w:val="0"/>
          <w:sz w:val="32"/>
          <w:szCs w:val="32"/>
          <w:lang w:val="zh-CN"/>
        </w:rPr>
        <w:t>发现存在违规用气的，及时督促整改并抄送相关部门介入执法、消除隐患</w:t>
      </w:r>
      <w:r>
        <w:rPr>
          <w:rFonts w:hint="eastAsia" w:eastAsia="仿宋_GB2312"/>
          <w:kern w:val="0"/>
          <w:sz w:val="32"/>
          <w:szCs w:val="32"/>
          <w:lang w:val="zh-CN"/>
        </w:rPr>
        <w:t>。</w:t>
      </w:r>
    </w:p>
    <w:p>
      <w:pPr>
        <w:keepNext w:val="0"/>
        <w:keepLines w:val="0"/>
        <w:pageBreakBefore w:val="0"/>
        <w:kinsoku/>
        <w:wordWrap/>
        <w:overflowPunct/>
        <w:topLinePunct w:val="0"/>
        <w:bidi w:val="0"/>
        <w:adjustRightInd w:val="0"/>
        <w:snapToGrid w:val="0"/>
        <w:spacing w:beforeAutospacing="0" w:line="520" w:lineRule="exact"/>
        <w:ind w:firstLine="643" w:firstLineChars="200"/>
        <w:textAlignment w:val="auto"/>
        <w:rPr>
          <w:rFonts w:ascii="仿宋" w:hAnsi="仿宋" w:eastAsia="仿宋" w:cs="仿宋"/>
          <w:bCs/>
          <w:sz w:val="32"/>
          <w:szCs w:val="32"/>
        </w:rPr>
      </w:pPr>
      <w:r>
        <w:rPr>
          <w:rFonts w:hint="eastAsia" w:eastAsia="楷体_GB2312"/>
          <w:b/>
          <w:sz w:val="32"/>
          <w:szCs w:val="32"/>
        </w:rPr>
        <w:t>镇综合行政执法局：</w:t>
      </w:r>
      <w:r>
        <w:rPr>
          <w:rFonts w:hint="eastAsia" w:ascii="仿宋" w:hAnsi="仿宋" w:eastAsia="仿宋" w:cs="仿宋"/>
          <w:bCs/>
          <w:sz w:val="32"/>
          <w:szCs w:val="32"/>
        </w:rPr>
        <w:t>依法查处不具备安全使用条件的瓶装液化气餐饮单位，</w:t>
      </w:r>
      <w:r>
        <w:rPr>
          <w:rFonts w:hint="eastAsia" w:ascii="仿宋" w:hAnsi="仿宋" w:eastAsia="仿宋" w:cs="仿宋"/>
          <w:sz w:val="32"/>
          <w:szCs w:val="32"/>
        </w:rPr>
        <w:t>做好执法保障工作。</w:t>
      </w:r>
    </w:p>
    <w:p>
      <w:pPr>
        <w:keepNext w:val="0"/>
        <w:keepLines w:val="0"/>
        <w:pageBreakBefore w:val="0"/>
        <w:kinsoku/>
        <w:wordWrap/>
        <w:overflowPunct/>
        <w:topLinePunct w:val="0"/>
        <w:bidi w:val="0"/>
        <w:adjustRightInd w:val="0"/>
        <w:snapToGrid w:val="0"/>
        <w:spacing w:beforeAutospacing="0" w:line="520" w:lineRule="exact"/>
        <w:ind w:firstLine="643" w:firstLineChars="200"/>
        <w:textAlignment w:val="auto"/>
        <w:rPr>
          <w:rFonts w:eastAsia="仿宋_GB2312"/>
          <w:sz w:val="32"/>
          <w:szCs w:val="32"/>
        </w:rPr>
      </w:pPr>
      <w:r>
        <w:rPr>
          <w:rFonts w:hint="eastAsia" w:eastAsia="楷体_GB2312"/>
          <w:b/>
          <w:sz w:val="32"/>
          <w:szCs w:val="32"/>
        </w:rPr>
        <w:t>市场监管局锦丰分局：</w:t>
      </w:r>
      <w:r>
        <w:rPr>
          <w:rFonts w:eastAsia="仿宋_GB2312"/>
          <w:sz w:val="32"/>
          <w:szCs w:val="32"/>
        </w:rPr>
        <w:t>按照职责依法查处餐饮经营主体未领取营业执照、未取得食品经营许可从事食品经营活动等违法违规行为</w:t>
      </w:r>
      <w:r>
        <w:rPr>
          <w:rFonts w:hint="eastAsia" w:eastAsia="仿宋_GB2312"/>
          <w:sz w:val="32"/>
          <w:szCs w:val="32"/>
        </w:rPr>
        <w:t>；</w:t>
      </w:r>
      <w:r>
        <w:rPr>
          <w:rFonts w:eastAsia="仿宋_GB2312"/>
          <w:sz w:val="32"/>
          <w:szCs w:val="32"/>
        </w:rPr>
        <w:t>参与</w:t>
      </w:r>
      <w:r>
        <w:rPr>
          <w:rFonts w:eastAsia="仿宋_GB2312"/>
          <w:kern w:val="0"/>
          <w:sz w:val="32"/>
          <w:szCs w:val="32"/>
        </w:rPr>
        <w:t>实施</w:t>
      </w:r>
      <w:r>
        <w:rPr>
          <w:rFonts w:hint="eastAsia" w:eastAsia="仿宋_GB2312"/>
          <w:kern w:val="0"/>
          <w:sz w:val="32"/>
          <w:szCs w:val="32"/>
        </w:rPr>
        <w:t>“瓶改电”验收</w:t>
      </w:r>
      <w:r>
        <w:rPr>
          <w:rFonts w:hint="eastAsia" w:eastAsia="仿宋_GB2312"/>
          <w:sz w:val="32"/>
          <w:szCs w:val="32"/>
        </w:rPr>
        <w:t>。</w:t>
      </w:r>
    </w:p>
    <w:p>
      <w:pPr>
        <w:keepNext w:val="0"/>
        <w:keepLines w:val="0"/>
        <w:pageBreakBefore w:val="0"/>
        <w:kinsoku/>
        <w:wordWrap/>
        <w:overflowPunct/>
        <w:topLinePunct w:val="0"/>
        <w:bidi w:val="0"/>
        <w:adjustRightInd w:val="0"/>
        <w:snapToGrid w:val="0"/>
        <w:spacing w:beforeAutospacing="0" w:line="520" w:lineRule="exact"/>
        <w:ind w:firstLine="643" w:firstLineChars="200"/>
        <w:textAlignment w:val="auto"/>
        <w:rPr>
          <w:rFonts w:eastAsia="仿宋_GB2312"/>
          <w:sz w:val="32"/>
          <w:szCs w:val="32"/>
        </w:rPr>
      </w:pPr>
      <w:r>
        <w:rPr>
          <w:rFonts w:hint="eastAsia" w:eastAsia="楷体_GB2312"/>
          <w:b/>
          <w:sz w:val="32"/>
          <w:szCs w:val="32"/>
        </w:rPr>
        <w:t>合兴、锦丰、三兴派出所：</w:t>
      </w:r>
      <w:r>
        <w:rPr>
          <w:rFonts w:eastAsia="仿宋_GB2312"/>
          <w:sz w:val="32"/>
          <w:szCs w:val="32"/>
        </w:rPr>
        <w:t>协助</w:t>
      </w:r>
      <w:r>
        <w:rPr>
          <w:rFonts w:hint="eastAsia" w:eastAsia="仿宋_GB2312"/>
          <w:sz w:val="32"/>
          <w:szCs w:val="32"/>
        </w:rPr>
        <w:t>园（镇）</w:t>
      </w:r>
      <w:r>
        <w:rPr>
          <w:rFonts w:eastAsia="仿宋_GB2312"/>
          <w:sz w:val="32"/>
          <w:szCs w:val="32"/>
        </w:rPr>
        <w:t>加大对餐饮场所的检查、宣传力度，督促落实消防安全主体责任；负责</w:t>
      </w:r>
      <w:r>
        <w:rPr>
          <w:rFonts w:hint="eastAsia" w:eastAsia="仿宋_GB2312"/>
          <w:sz w:val="32"/>
          <w:szCs w:val="32"/>
        </w:rPr>
        <w:t>“瓶改管、瓶改电”工作推进中相关违法</w:t>
      </w:r>
      <w:r>
        <w:rPr>
          <w:rFonts w:eastAsia="仿宋_GB2312"/>
          <w:sz w:val="32"/>
          <w:szCs w:val="32"/>
        </w:rPr>
        <w:t>阻扰事件的及时处理，做好施工涉及的交通组织保障；协助</w:t>
      </w:r>
      <w:r>
        <w:rPr>
          <w:rFonts w:hint="eastAsia" w:eastAsia="仿宋_GB2312"/>
          <w:sz w:val="32"/>
          <w:szCs w:val="32"/>
        </w:rPr>
        <w:t>园（镇）</w:t>
      </w:r>
      <w:r>
        <w:rPr>
          <w:rFonts w:eastAsia="仿宋_GB2312"/>
          <w:sz w:val="32"/>
          <w:szCs w:val="32"/>
        </w:rPr>
        <w:t>加大</w:t>
      </w:r>
      <w:r>
        <w:rPr>
          <w:rFonts w:hint="eastAsia" w:eastAsia="仿宋_GB2312"/>
          <w:sz w:val="32"/>
          <w:szCs w:val="32"/>
        </w:rPr>
        <w:t>“黑气”打</w:t>
      </w:r>
      <w:r>
        <w:rPr>
          <w:rFonts w:eastAsia="仿宋_GB2312"/>
          <w:sz w:val="32"/>
          <w:szCs w:val="32"/>
        </w:rPr>
        <w:t>击力度。</w:t>
      </w:r>
    </w:p>
    <w:p>
      <w:pPr>
        <w:keepNext w:val="0"/>
        <w:keepLines w:val="0"/>
        <w:pageBreakBefore w:val="0"/>
        <w:kinsoku/>
        <w:wordWrap/>
        <w:overflowPunct/>
        <w:topLinePunct w:val="0"/>
        <w:autoSpaceDE w:val="0"/>
        <w:autoSpaceDN w:val="0"/>
        <w:bidi w:val="0"/>
        <w:spacing w:beforeAutospacing="0" w:line="520" w:lineRule="exact"/>
        <w:ind w:firstLine="643" w:firstLineChars="200"/>
        <w:textAlignment w:val="auto"/>
        <w:rPr>
          <w:rFonts w:eastAsia="仿宋_GB2312"/>
          <w:kern w:val="0"/>
          <w:sz w:val="32"/>
          <w:szCs w:val="32"/>
        </w:rPr>
      </w:pPr>
      <w:r>
        <w:rPr>
          <w:rFonts w:hint="eastAsia" w:eastAsia="楷体_GB2312"/>
          <w:b/>
          <w:sz w:val="32"/>
          <w:szCs w:val="32"/>
        </w:rPr>
        <w:t>锦丰供电所：</w:t>
      </w:r>
      <w:r>
        <w:rPr>
          <w:rFonts w:eastAsia="仿宋_GB2312"/>
          <w:kern w:val="0"/>
          <w:sz w:val="32"/>
          <w:szCs w:val="32"/>
        </w:rPr>
        <w:t>建立相应的</w:t>
      </w:r>
      <w:r>
        <w:rPr>
          <w:rFonts w:hint="eastAsia" w:eastAsia="仿宋_GB2312"/>
          <w:kern w:val="0"/>
          <w:sz w:val="32"/>
          <w:szCs w:val="32"/>
        </w:rPr>
        <w:t>“瓶改电”推</w:t>
      </w:r>
      <w:r>
        <w:rPr>
          <w:rFonts w:eastAsia="仿宋_GB2312"/>
          <w:kern w:val="0"/>
          <w:sz w:val="32"/>
          <w:szCs w:val="32"/>
        </w:rPr>
        <w:t>进工作专班，配足施工队伍，全面推进合同签订、方案设计、进场施工和验收通电等工作；严格按照建设标准和设计规范，争取配套资金，完成</w:t>
      </w:r>
      <w:r>
        <w:rPr>
          <w:rFonts w:hint="eastAsia" w:eastAsia="仿宋_GB2312"/>
          <w:kern w:val="0"/>
          <w:sz w:val="32"/>
          <w:szCs w:val="32"/>
        </w:rPr>
        <w:t>“瓶改电”</w:t>
      </w:r>
      <w:r>
        <w:rPr>
          <w:rFonts w:hint="eastAsia" w:eastAsia="仿宋_GB2312"/>
          <w:sz w:val="32"/>
          <w:szCs w:val="32"/>
        </w:rPr>
        <w:t>集中改造</w:t>
      </w:r>
      <w:r>
        <w:rPr>
          <w:rFonts w:hint="eastAsia" w:eastAsia="仿宋_GB2312"/>
          <w:kern w:val="0"/>
          <w:sz w:val="32"/>
          <w:szCs w:val="32"/>
        </w:rPr>
        <w:t>工</w:t>
      </w:r>
      <w:r>
        <w:rPr>
          <w:rFonts w:eastAsia="仿宋_GB2312"/>
          <w:kern w:val="0"/>
          <w:sz w:val="32"/>
          <w:szCs w:val="32"/>
        </w:rPr>
        <w:t>程外部线路、表箱（供电公司资产）改造，加强施工进度管理，保障文明安全施工和工程质量；审核</w:t>
      </w:r>
      <w:r>
        <w:rPr>
          <w:rFonts w:hint="eastAsia" w:eastAsia="仿宋_GB2312"/>
          <w:kern w:val="0"/>
          <w:sz w:val="32"/>
          <w:szCs w:val="32"/>
        </w:rPr>
        <w:t>“瓶改电”</w:t>
      </w:r>
      <w:r>
        <w:rPr>
          <w:rFonts w:eastAsia="仿宋_GB2312"/>
          <w:kern w:val="0"/>
          <w:sz w:val="32"/>
          <w:szCs w:val="32"/>
        </w:rPr>
        <w:t>餐饮商户用电主体、报装容量，为内部电气设备改造提供技术支持，协助合理配置供电容量、供电方式。内部改造工程由商户委托有资质的施工单位实施。</w:t>
      </w:r>
    </w:p>
    <w:p>
      <w:pPr>
        <w:keepNext w:val="0"/>
        <w:keepLines w:val="0"/>
        <w:pageBreakBefore w:val="0"/>
        <w:kinsoku/>
        <w:wordWrap/>
        <w:overflowPunct/>
        <w:topLinePunct w:val="0"/>
        <w:bidi w:val="0"/>
        <w:adjustRightInd w:val="0"/>
        <w:snapToGrid w:val="0"/>
        <w:spacing w:beforeAutospacing="0" w:line="520" w:lineRule="exact"/>
        <w:ind w:firstLine="643" w:firstLineChars="200"/>
        <w:textAlignment w:val="auto"/>
        <w:rPr>
          <w:rFonts w:eastAsia="仿宋_GB2312"/>
          <w:sz w:val="32"/>
          <w:szCs w:val="32"/>
        </w:rPr>
      </w:pPr>
      <w:r>
        <w:rPr>
          <w:rFonts w:hint="eastAsia" w:eastAsia="楷体_GB2312"/>
          <w:b/>
          <w:sz w:val="32"/>
          <w:szCs w:val="32"/>
        </w:rPr>
        <w:t>管道燃气公司：</w:t>
      </w:r>
      <w:r>
        <w:rPr>
          <w:rFonts w:eastAsia="仿宋_GB2312"/>
          <w:sz w:val="32"/>
          <w:szCs w:val="32"/>
        </w:rPr>
        <w:t>建立相应的</w:t>
      </w:r>
      <w:r>
        <w:rPr>
          <w:rFonts w:hint="eastAsia" w:eastAsia="仿宋_GB2312"/>
          <w:sz w:val="32"/>
          <w:szCs w:val="32"/>
        </w:rPr>
        <w:t>“瓶改管”</w:t>
      </w:r>
      <w:r>
        <w:rPr>
          <w:rFonts w:eastAsia="仿宋_GB2312"/>
          <w:sz w:val="32"/>
          <w:szCs w:val="32"/>
        </w:rPr>
        <w:t>推进工作专班，配足施工队伍，全面推进合同签订、方案设计、进场施工和验收通气等工作；严格按照建设标准和设计规范完成管网建设，区域性设计方案与</w:t>
      </w:r>
      <w:r>
        <w:rPr>
          <w:rFonts w:hint="eastAsia" w:eastAsia="仿宋_GB2312"/>
          <w:sz w:val="32"/>
          <w:szCs w:val="32"/>
        </w:rPr>
        <w:t>园（镇）</w:t>
      </w:r>
      <w:r>
        <w:rPr>
          <w:rFonts w:eastAsia="仿宋_GB2312"/>
          <w:sz w:val="32"/>
          <w:szCs w:val="32"/>
        </w:rPr>
        <w:t>充分沟通</w:t>
      </w:r>
      <w:r>
        <w:rPr>
          <w:rFonts w:hint="eastAsia" w:eastAsia="仿宋_GB2312"/>
          <w:sz w:val="32"/>
          <w:szCs w:val="32"/>
        </w:rPr>
        <w:t>意见</w:t>
      </w:r>
      <w:r>
        <w:rPr>
          <w:rFonts w:eastAsia="仿宋_GB2312"/>
          <w:sz w:val="32"/>
          <w:szCs w:val="32"/>
        </w:rPr>
        <w:t>一致后施工；对具备入户施工、点火通气的，及时接户到位，遇施工难度大、用户不配合等情况，第一时间报</w:t>
      </w:r>
      <w:r>
        <w:rPr>
          <w:rFonts w:hint="eastAsia" w:eastAsia="仿宋_GB2312"/>
          <w:sz w:val="32"/>
          <w:szCs w:val="32"/>
        </w:rPr>
        <w:t>园（镇）</w:t>
      </w:r>
      <w:r>
        <w:rPr>
          <w:rFonts w:eastAsia="仿宋_GB2312"/>
          <w:sz w:val="32"/>
          <w:szCs w:val="32"/>
        </w:rPr>
        <w:t xml:space="preserve">协调处理；加强施工进度管理，保障文明安全施工及工程质量。 </w:t>
      </w:r>
    </w:p>
    <w:p>
      <w:pPr>
        <w:keepNext w:val="0"/>
        <w:keepLines w:val="0"/>
        <w:pageBreakBefore w:val="0"/>
        <w:kinsoku/>
        <w:wordWrap/>
        <w:overflowPunct/>
        <w:topLinePunct w:val="0"/>
        <w:bidi w:val="0"/>
        <w:adjustRightInd w:val="0"/>
        <w:snapToGrid w:val="0"/>
        <w:spacing w:beforeAutospacing="0" w:line="520" w:lineRule="exact"/>
        <w:ind w:firstLine="643" w:firstLineChars="200"/>
        <w:textAlignment w:val="auto"/>
        <w:rPr>
          <w:rFonts w:eastAsia="仿宋_GB2312"/>
          <w:sz w:val="32"/>
          <w:szCs w:val="32"/>
        </w:rPr>
      </w:pPr>
      <w:r>
        <w:rPr>
          <w:rFonts w:hint="eastAsia" w:eastAsia="楷体_GB2312"/>
          <w:b/>
          <w:sz w:val="32"/>
          <w:szCs w:val="32"/>
        </w:rPr>
        <w:t>瓶装燃气公司：</w:t>
      </w:r>
      <w:r>
        <w:rPr>
          <w:rFonts w:eastAsia="仿宋_GB2312"/>
          <w:sz w:val="32"/>
          <w:szCs w:val="32"/>
        </w:rPr>
        <w:t>负责做好餐饮商户退款销户工作，落实主体责任，规范送气行为，对存在用气安全风险的餐饮场所按规定停止供气。</w:t>
      </w:r>
    </w:p>
    <w:p>
      <w:pPr>
        <w:keepNext w:val="0"/>
        <w:keepLines w:val="0"/>
        <w:pageBreakBefore w:val="0"/>
        <w:kinsoku/>
        <w:wordWrap/>
        <w:overflowPunct/>
        <w:topLinePunct w:val="0"/>
        <w:autoSpaceDE w:val="0"/>
        <w:autoSpaceDN w:val="0"/>
        <w:bidi w:val="0"/>
        <w:spacing w:beforeAutospacing="0" w:line="520" w:lineRule="exact"/>
        <w:ind w:firstLine="643" w:firstLineChars="200"/>
        <w:textAlignment w:val="auto"/>
        <w:rPr>
          <w:rFonts w:eastAsia="仿宋_GB2312"/>
          <w:sz w:val="32"/>
          <w:szCs w:val="32"/>
        </w:rPr>
      </w:pPr>
      <w:r>
        <w:rPr>
          <w:rFonts w:hint="eastAsia" w:eastAsia="楷体_GB2312"/>
          <w:b/>
          <w:sz w:val="32"/>
          <w:szCs w:val="32"/>
          <w:lang w:val="zh-CN"/>
        </w:rPr>
        <w:t>各办事处（综合服务办）：</w:t>
      </w:r>
      <w:r>
        <w:rPr>
          <w:rFonts w:hint="eastAsia" w:eastAsia="仿宋_GB2312"/>
          <w:sz w:val="32"/>
          <w:szCs w:val="32"/>
          <w:lang w:val="zh-CN"/>
        </w:rPr>
        <w:t>充分利用现有宣传载体加强餐饮场所</w:t>
      </w:r>
      <w:r>
        <w:rPr>
          <w:rFonts w:hint="eastAsia" w:eastAsia="仿宋_GB2312"/>
          <w:sz w:val="32"/>
          <w:szCs w:val="32"/>
        </w:rPr>
        <w:t>“改管、改电”宣传引导；</w:t>
      </w:r>
      <w:r>
        <w:rPr>
          <w:rFonts w:hint="eastAsia" w:ascii="仿宋" w:hAnsi="仿宋" w:eastAsia="仿宋" w:cs="仿宋"/>
          <w:bCs/>
          <w:sz w:val="32"/>
          <w:szCs w:val="32"/>
          <w:lang w:val="zh-CN"/>
        </w:rPr>
        <w:t>做好辖区内各村（社区）餐饮场所</w:t>
      </w:r>
      <w:r>
        <w:rPr>
          <w:rFonts w:hint="eastAsia" w:ascii="仿宋" w:hAnsi="仿宋" w:eastAsia="仿宋" w:cs="仿宋"/>
          <w:bCs/>
          <w:sz w:val="32"/>
          <w:szCs w:val="32"/>
        </w:rPr>
        <w:t>“改管、改电”的督促指导；及时协调解决改造现场矛盾问题，推进改造计划落实；建立相关工作</w:t>
      </w:r>
      <w:r>
        <w:rPr>
          <w:rFonts w:hint="eastAsia" w:eastAsia="仿宋_GB2312"/>
          <w:sz w:val="32"/>
          <w:szCs w:val="32"/>
        </w:rPr>
        <w:t>台账，按时上报相关材料。</w:t>
      </w:r>
    </w:p>
    <w:p>
      <w:pPr>
        <w:keepNext w:val="0"/>
        <w:keepLines w:val="0"/>
        <w:pageBreakBefore w:val="0"/>
        <w:kinsoku/>
        <w:wordWrap/>
        <w:overflowPunct/>
        <w:topLinePunct w:val="0"/>
        <w:bidi w:val="0"/>
        <w:adjustRightInd w:val="0"/>
        <w:snapToGrid w:val="0"/>
        <w:spacing w:beforeAutospacing="0" w:line="520" w:lineRule="exact"/>
        <w:ind w:firstLine="640" w:firstLineChars="200"/>
        <w:jc w:val="left"/>
        <w:textAlignment w:val="auto"/>
        <w:rPr>
          <w:rFonts w:eastAsia="黑体" w:cs="黑体"/>
          <w:sz w:val="32"/>
          <w:szCs w:val="32"/>
        </w:rPr>
      </w:pPr>
      <w:r>
        <w:rPr>
          <w:rFonts w:hint="eastAsia" w:eastAsia="黑体" w:cs="黑体"/>
          <w:sz w:val="32"/>
          <w:szCs w:val="32"/>
        </w:rPr>
        <w:t>六、工作要求</w:t>
      </w:r>
    </w:p>
    <w:p>
      <w:pPr>
        <w:keepNext w:val="0"/>
        <w:keepLines w:val="0"/>
        <w:pageBreakBefore w:val="0"/>
        <w:kinsoku/>
        <w:wordWrap/>
        <w:overflowPunct/>
        <w:topLinePunct w:val="0"/>
        <w:bidi w:val="0"/>
        <w:adjustRightInd w:val="0"/>
        <w:snapToGrid w:val="0"/>
        <w:spacing w:beforeAutospacing="0" w:line="520" w:lineRule="exact"/>
        <w:ind w:firstLine="640" w:firstLineChars="200"/>
        <w:textAlignment w:val="auto"/>
        <w:rPr>
          <w:rFonts w:eastAsia="仿宋_GB2312"/>
          <w:sz w:val="32"/>
          <w:szCs w:val="32"/>
        </w:rPr>
      </w:pPr>
      <w:r>
        <w:rPr>
          <w:rFonts w:hint="eastAsia" w:eastAsia="楷体_GB2312" w:cs="楷体_GB2312"/>
          <w:bCs/>
          <w:sz w:val="32"/>
          <w:szCs w:val="32"/>
        </w:rPr>
        <w:t>（一）营造浓烈氛围。</w:t>
      </w:r>
      <w:r>
        <w:rPr>
          <w:rFonts w:eastAsia="仿宋_GB2312"/>
          <w:sz w:val="32"/>
          <w:szCs w:val="32"/>
        </w:rPr>
        <w:t>各</w:t>
      </w:r>
      <w:r>
        <w:rPr>
          <w:rFonts w:hint="eastAsia" w:eastAsia="仿宋_GB2312"/>
          <w:sz w:val="32"/>
          <w:szCs w:val="32"/>
        </w:rPr>
        <w:t>相关部门、村（社区）</w:t>
      </w:r>
      <w:r>
        <w:rPr>
          <w:rFonts w:eastAsia="仿宋_GB2312"/>
          <w:sz w:val="32"/>
          <w:szCs w:val="32"/>
        </w:rPr>
        <w:t>要</w:t>
      </w:r>
      <w:r>
        <w:rPr>
          <w:rFonts w:hint="eastAsia" w:eastAsia="仿宋_GB2312"/>
          <w:sz w:val="32"/>
          <w:szCs w:val="32"/>
        </w:rPr>
        <w:t>切实开展</w:t>
      </w:r>
      <w:r>
        <w:rPr>
          <w:rFonts w:eastAsia="仿宋_GB2312"/>
          <w:sz w:val="32"/>
          <w:szCs w:val="32"/>
        </w:rPr>
        <w:t>餐饮</w:t>
      </w:r>
      <w:r>
        <w:rPr>
          <w:rFonts w:hint="eastAsia" w:eastAsia="仿宋_GB2312"/>
          <w:sz w:val="32"/>
          <w:szCs w:val="32"/>
        </w:rPr>
        <w:t>经营场所“瓶改管、瓶改电”集中改造的舆论宣传，从安全性、经济性、补贴政策等</w:t>
      </w:r>
      <w:r>
        <w:rPr>
          <w:rFonts w:eastAsia="仿宋_GB2312"/>
          <w:sz w:val="32"/>
          <w:szCs w:val="32"/>
        </w:rPr>
        <w:t>方面多重对比，</w:t>
      </w:r>
      <w:r>
        <w:rPr>
          <w:rFonts w:hint="eastAsia" w:eastAsia="仿宋_GB2312"/>
          <w:sz w:val="32"/>
          <w:szCs w:val="32"/>
        </w:rPr>
        <w:t>充分展示</w:t>
      </w:r>
      <w:r>
        <w:rPr>
          <w:rFonts w:eastAsia="仿宋_GB2312"/>
          <w:sz w:val="32"/>
          <w:szCs w:val="32"/>
        </w:rPr>
        <w:t>餐饮</w:t>
      </w:r>
      <w:r>
        <w:rPr>
          <w:rFonts w:hint="eastAsia" w:eastAsia="仿宋_GB2312"/>
          <w:sz w:val="32"/>
          <w:szCs w:val="32"/>
        </w:rPr>
        <w:t>经营</w:t>
      </w:r>
      <w:r>
        <w:rPr>
          <w:rFonts w:eastAsia="仿宋_GB2312"/>
          <w:sz w:val="32"/>
          <w:szCs w:val="32"/>
        </w:rPr>
        <w:t>场</w:t>
      </w:r>
      <w:r>
        <w:rPr>
          <w:rFonts w:hint="eastAsia" w:eastAsia="仿宋_GB2312"/>
          <w:sz w:val="32"/>
          <w:szCs w:val="32"/>
        </w:rPr>
        <w:t>所“瓶改管、瓶改电”集中改造的</w:t>
      </w:r>
      <w:r>
        <w:rPr>
          <w:rFonts w:eastAsia="仿宋_GB2312"/>
          <w:sz w:val="32"/>
          <w:szCs w:val="32"/>
        </w:rPr>
        <w:t>重要性、优越性</w:t>
      </w:r>
      <w:r>
        <w:rPr>
          <w:rFonts w:hint="eastAsia" w:eastAsia="仿宋_GB2312"/>
          <w:sz w:val="32"/>
          <w:szCs w:val="32"/>
        </w:rPr>
        <w:t>，确保每一户餐饮经营户知晓政策，营造浓烈且良好的改造氛围。</w:t>
      </w:r>
    </w:p>
    <w:p>
      <w:pPr>
        <w:keepNext w:val="0"/>
        <w:keepLines w:val="0"/>
        <w:pageBreakBefore w:val="0"/>
        <w:kinsoku/>
        <w:wordWrap/>
        <w:overflowPunct/>
        <w:topLinePunct w:val="0"/>
        <w:bidi w:val="0"/>
        <w:adjustRightInd w:val="0"/>
        <w:snapToGrid w:val="0"/>
        <w:spacing w:beforeAutospacing="0" w:line="520" w:lineRule="exact"/>
        <w:ind w:firstLine="640" w:firstLineChars="200"/>
        <w:textAlignment w:val="auto"/>
      </w:pPr>
      <w:r>
        <w:rPr>
          <w:rFonts w:hint="eastAsia" w:eastAsia="楷体_GB2312" w:cs="楷体_GB2312"/>
          <w:bCs/>
          <w:sz w:val="32"/>
          <w:szCs w:val="32"/>
        </w:rPr>
        <w:t>（二）凝聚工作合力。</w:t>
      </w:r>
      <w:r>
        <w:rPr>
          <w:rFonts w:eastAsia="仿宋_GB2312"/>
          <w:sz w:val="32"/>
          <w:szCs w:val="32"/>
        </w:rPr>
        <w:t>各</w:t>
      </w:r>
      <w:r>
        <w:rPr>
          <w:rFonts w:hint="eastAsia" w:eastAsia="仿宋_GB2312"/>
          <w:sz w:val="32"/>
          <w:szCs w:val="32"/>
        </w:rPr>
        <w:t>相关部门、村（社区）要</w:t>
      </w:r>
      <w:r>
        <w:rPr>
          <w:rFonts w:eastAsia="仿宋_GB2312"/>
          <w:sz w:val="32"/>
          <w:szCs w:val="32"/>
        </w:rPr>
        <w:t>和供电公司、燃气公司密切沟通配合，强化工作合力，建立定期工作会商、进度通报等制度，提高办事效率。</w:t>
      </w:r>
      <w:r>
        <w:rPr>
          <w:rFonts w:hint="eastAsia" w:eastAsia="仿宋_GB2312"/>
          <w:sz w:val="32"/>
          <w:szCs w:val="32"/>
        </w:rPr>
        <w:t>园规划建设局、经济服务局</w:t>
      </w:r>
      <w:r>
        <w:rPr>
          <w:rFonts w:eastAsia="仿宋_GB2312"/>
          <w:sz w:val="32"/>
          <w:szCs w:val="32"/>
        </w:rPr>
        <w:t>作</w:t>
      </w:r>
      <w:r>
        <w:rPr>
          <w:rFonts w:hint="eastAsia" w:eastAsia="仿宋_GB2312"/>
          <w:sz w:val="32"/>
          <w:szCs w:val="32"/>
        </w:rPr>
        <w:t>为“瓶改管、瓶改电”集中改造的主</w:t>
      </w:r>
      <w:r>
        <w:rPr>
          <w:rFonts w:eastAsia="仿宋_GB2312"/>
          <w:sz w:val="32"/>
          <w:szCs w:val="32"/>
        </w:rPr>
        <w:t>要督促指导部门，要强化责任担当，切实协调、解决推进过程中的疑难问题。各相关部门在规划报批、道路开挖等相关审批上要给予支持，对照各部门监管执法职能，督促餐饮商户积极配合实施，相互支持、共同推进。</w:t>
      </w:r>
    </w:p>
    <w:p>
      <w:pPr>
        <w:keepNext w:val="0"/>
        <w:keepLines w:val="0"/>
        <w:pageBreakBefore w:val="0"/>
        <w:kinsoku/>
        <w:wordWrap/>
        <w:overflowPunct/>
        <w:topLinePunct w:val="0"/>
        <w:bidi w:val="0"/>
        <w:adjustRightInd w:val="0"/>
        <w:snapToGrid w:val="0"/>
        <w:spacing w:beforeAutospacing="0" w:line="520" w:lineRule="exact"/>
        <w:ind w:firstLine="640" w:firstLineChars="200"/>
        <w:textAlignment w:val="auto"/>
        <w:rPr>
          <w:rFonts w:eastAsia="仿宋_GB2312"/>
          <w:sz w:val="32"/>
          <w:szCs w:val="32"/>
        </w:rPr>
      </w:pPr>
      <w:r>
        <w:rPr>
          <w:rFonts w:hint="eastAsia" w:eastAsia="楷体_GB2312" w:cs="楷体_GB2312"/>
          <w:bCs/>
          <w:sz w:val="32"/>
          <w:szCs w:val="32"/>
        </w:rPr>
        <w:t>（三）强化组织领导。</w:t>
      </w:r>
      <w:r>
        <w:rPr>
          <w:rFonts w:hint="eastAsia" w:eastAsia="仿宋_GB2312"/>
          <w:sz w:val="32"/>
          <w:szCs w:val="32"/>
        </w:rPr>
        <w:t>园（镇）成立餐饮经营场所“瓶改管”“瓶改电”工作专班，全面统筹协调推进餐饮经营场所“瓶改管”“瓶改电”工作。</w:t>
      </w:r>
      <w:r>
        <w:rPr>
          <w:rFonts w:eastAsia="仿宋_GB2312"/>
          <w:sz w:val="32"/>
          <w:szCs w:val="32"/>
        </w:rPr>
        <w:t>各</w:t>
      </w:r>
      <w:r>
        <w:rPr>
          <w:rFonts w:hint="eastAsia" w:eastAsia="仿宋_GB2312"/>
          <w:sz w:val="32"/>
          <w:szCs w:val="32"/>
        </w:rPr>
        <w:t>村（社区）</w:t>
      </w:r>
      <w:r>
        <w:rPr>
          <w:rFonts w:eastAsia="仿宋_GB2312"/>
          <w:sz w:val="32"/>
          <w:szCs w:val="32"/>
        </w:rPr>
        <w:t>要建立</w:t>
      </w:r>
      <w:r>
        <w:rPr>
          <w:rFonts w:hint="eastAsia" w:eastAsia="仿宋_GB2312"/>
          <w:sz w:val="32"/>
          <w:szCs w:val="32"/>
        </w:rPr>
        <w:t>由</w:t>
      </w:r>
      <w:r>
        <w:rPr>
          <w:rFonts w:eastAsia="仿宋_GB2312"/>
          <w:sz w:val="32"/>
          <w:szCs w:val="32"/>
        </w:rPr>
        <w:t>主要</w:t>
      </w:r>
      <w:r>
        <w:rPr>
          <w:rFonts w:hint="eastAsia" w:eastAsia="仿宋_GB2312"/>
          <w:sz w:val="32"/>
          <w:szCs w:val="32"/>
        </w:rPr>
        <w:t>负责人为组长的“瓶改管”“瓶改电”工作组，</w:t>
      </w:r>
      <w:r>
        <w:rPr>
          <w:rFonts w:eastAsia="仿宋_GB2312"/>
          <w:sz w:val="32"/>
          <w:szCs w:val="32"/>
        </w:rPr>
        <w:t>把</w:t>
      </w:r>
      <w:r>
        <w:rPr>
          <w:rFonts w:hint="eastAsia" w:eastAsia="仿宋_GB2312"/>
          <w:sz w:val="32"/>
          <w:szCs w:val="32"/>
        </w:rPr>
        <w:t>改造</w:t>
      </w:r>
      <w:r>
        <w:rPr>
          <w:rFonts w:eastAsia="仿宋_GB2312"/>
          <w:sz w:val="32"/>
          <w:szCs w:val="32"/>
        </w:rPr>
        <w:t>作为提升</w:t>
      </w:r>
      <w:r>
        <w:rPr>
          <w:rFonts w:hint="eastAsia" w:eastAsia="仿宋_GB2312"/>
          <w:sz w:val="32"/>
          <w:szCs w:val="32"/>
        </w:rPr>
        <w:t>餐饮场所</w:t>
      </w:r>
      <w:r>
        <w:rPr>
          <w:rFonts w:eastAsia="仿宋_GB2312"/>
          <w:sz w:val="32"/>
          <w:szCs w:val="32"/>
        </w:rPr>
        <w:t>本质安全</w:t>
      </w:r>
      <w:r>
        <w:rPr>
          <w:rFonts w:hint="eastAsia" w:eastAsia="仿宋_GB2312"/>
          <w:sz w:val="32"/>
          <w:szCs w:val="32"/>
        </w:rPr>
        <w:t>水平</w:t>
      </w:r>
      <w:r>
        <w:rPr>
          <w:rFonts w:eastAsia="仿宋_GB2312"/>
          <w:sz w:val="32"/>
          <w:szCs w:val="32"/>
        </w:rPr>
        <w:t>的关键举措，摆上重要位置</w:t>
      </w:r>
      <w:r>
        <w:rPr>
          <w:rFonts w:hint="eastAsia" w:eastAsia="仿宋_GB2312"/>
          <w:sz w:val="32"/>
          <w:szCs w:val="32"/>
        </w:rPr>
        <w:t>，</w:t>
      </w:r>
      <w:r>
        <w:rPr>
          <w:rFonts w:eastAsia="仿宋_GB2312"/>
          <w:sz w:val="32"/>
          <w:szCs w:val="32"/>
        </w:rPr>
        <w:t>按照时限进度，</w:t>
      </w:r>
      <w:r>
        <w:rPr>
          <w:rFonts w:hint="eastAsia" w:eastAsia="仿宋_GB2312"/>
          <w:sz w:val="32"/>
          <w:szCs w:val="32"/>
        </w:rPr>
        <w:t>实行</w:t>
      </w:r>
      <w:r>
        <w:rPr>
          <w:rFonts w:eastAsia="仿宋_GB2312"/>
          <w:sz w:val="32"/>
          <w:szCs w:val="32"/>
        </w:rPr>
        <w:t>挂图作战，定期对表销号，确保集中改造扎实有序开展。</w:t>
      </w:r>
    </w:p>
    <w:p>
      <w:pPr>
        <w:keepNext w:val="0"/>
        <w:keepLines w:val="0"/>
        <w:pageBreakBefore w:val="0"/>
        <w:kinsoku/>
        <w:wordWrap/>
        <w:overflowPunct/>
        <w:topLinePunct w:val="0"/>
        <w:bidi w:val="0"/>
        <w:adjustRightInd w:val="0"/>
        <w:snapToGrid w:val="0"/>
        <w:spacing w:beforeAutospacing="0" w:line="520" w:lineRule="exact"/>
        <w:ind w:firstLine="640" w:firstLineChars="200"/>
        <w:textAlignment w:val="auto"/>
        <w:rPr>
          <w:rFonts w:eastAsia="仿宋_GB2312"/>
          <w:sz w:val="32"/>
          <w:szCs w:val="32"/>
        </w:rPr>
      </w:pPr>
      <w:r>
        <w:rPr>
          <w:rFonts w:hint="eastAsia" w:eastAsia="楷体_GB2312" w:cs="楷体_GB2312"/>
          <w:bCs/>
          <w:sz w:val="32"/>
          <w:szCs w:val="32"/>
        </w:rPr>
        <w:t>（四）积极开展督导。</w:t>
      </w:r>
      <w:r>
        <w:rPr>
          <w:rFonts w:hint="eastAsia" w:eastAsia="仿宋_GB2312"/>
          <w:sz w:val="32"/>
          <w:szCs w:val="32"/>
        </w:rPr>
        <w:t>园（镇）工作</w:t>
      </w:r>
      <w:r>
        <w:rPr>
          <w:rFonts w:eastAsia="仿宋_GB2312"/>
          <w:sz w:val="32"/>
          <w:szCs w:val="32"/>
        </w:rPr>
        <w:t>专班要动态掌握</w:t>
      </w:r>
      <w:r>
        <w:rPr>
          <w:rFonts w:hint="eastAsia" w:eastAsia="仿宋_GB2312"/>
          <w:sz w:val="32"/>
          <w:szCs w:val="32"/>
        </w:rPr>
        <w:t>“瓶改管、瓶改电”工作的实施进展，加强督查指导和执法检查，将改造工作纳入各办事处（综合服务办）、村（社区）绩效考核和安全生产考核，确保改造工作落地见效。各相关部门、办事处（综合服务办）按照周报制度填写“瓶改管、瓶改电”工作进</w:t>
      </w:r>
      <w:r>
        <w:rPr>
          <w:rFonts w:eastAsia="仿宋_GB2312"/>
          <w:sz w:val="32"/>
          <w:szCs w:val="32"/>
        </w:rPr>
        <w:t>度汇总表（附件</w:t>
      </w:r>
      <w:r>
        <w:rPr>
          <w:rFonts w:hint="eastAsia" w:eastAsia="仿宋_GB2312"/>
          <w:sz w:val="32"/>
          <w:szCs w:val="32"/>
        </w:rPr>
        <w:t>3</w:t>
      </w:r>
      <w:r>
        <w:rPr>
          <w:rFonts w:eastAsia="仿宋_GB2312"/>
          <w:sz w:val="32"/>
          <w:szCs w:val="32"/>
        </w:rPr>
        <w:t>）</w:t>
      </w:r>
      <w:r>
        <w:rPr>
          <w:rFonts w:hint="eastAsia" w:eastAsia="仿宋_GB2312"/>
          <w:sz w:val="32"/>
          <w:szCs w:val="32"/>
        </w:rPr>
        <w:t>、“瓶改管”“瓶改电”改造工作进</w:t>
      </w:r>
      <w:r>
        <w:rPr>
          <w:rFonts w:eastAsia="仿宋_GB2312"/>
          <w:sz w:val="32"/>
          <w:szCs w:val="32"/>
        </w:rPr>
        <w:t xml:space="preserve">度明细表（附件 </w:t>
      </w:r>
      <w:r>
        <w:rPr>
          <w:rFonts w:hint="eastAsia" w:eastAsia="仿宋_GB2312"/>
          <w:sz w:val="32"/>
          <w:szCs w:val="32"/>
        </w:rPr>
        <w:t>4</w:t>
      </w:r>
      <w:r>
        <w:rPr>
          <w:rFonts w:eastAsia="仿宋_GB2312"/>
          <w:sz w:val="32"/>
          <w:szCs w:val="32"/>
        </w:rPr>
        <w:t>、</w:t>
      </w:r>
      <w:r>
        <w:rPr>
          <w:rFonts w:hint="eastAsia" w:eastAsia="仿宋_GB2312"/>
          <w:sz w:val="32"/>
          <w:szCs w:val="32"/>
        </w:rPr>
        <w:t>5</w:t>
      </w:r>
      <w:r>
        <w:rPr>
          <w:rFonts w:eastAsia="仿宋_GB2312"/>
          <w:sz w:val="32"/>
          <w:szCs w:val="32"/>
        </w:rPr>
        <w:t>），于每周三下午 4 点前报送至</w:t>
      </w:r>
      <w:r>
        <w:rPr>
          <w:rFonts w:hint="eastAsia" w:eastAsia="仿宋_GB2312"/>
          <w:sz w:val="32"/>
          <w:szCs w:val="32"/>
        </w:rPr>
        <w:t>工作专班</w:t>
      </w:r>
      <w:r>
        <w:rPr>
          <w:rFonts w:eastAsia="仿宋_GB2312"/>
          <w:sz w:val="32"/>
          <w:szCs w:val="32"/>
        </w:rPr>
        <w:t>。</w:t>
      </w:r>
    </w:p>
    <w:p>
      <w:pPr>
        <w:keepNext w:val="0"/>
        <w:keepLines w:val="0"/>
        <w:pageBreakBefore w:val="0"/>
        <w:kinsoku/>
        <w:wordWrap/>
        <w:overflowPunct/>
        <w:topLinePunct w:val="0"/>
        <w:bidi w:val="0"/>
        <w:adjustRightInd w:val="0"/>
        <w:snapToGrid w:val="0"/>
        <w:spacing w:beforeAutospacing="0" w:line="520" w:lineRule="exact"/>
        <w:ind w:firstLine="640" w:firstLineChars="200"/>
        <w:jc w:val="left"/>
        <w:textAlignment w:val="auto"/>
        <w:rPr>
          <w:rFonts w:eastAsia="仿宋_GB2312"/>
          <w:sz w:val="32"/>
          <w:szCs w:val="32"/>
        </w:rPr>
      </w:pPr>
    </w:p>
    <w:p>
      <w:pPr>
        <w:keepNext w:val="0"/>
        <w:keepLines w:val="0"/>
        <w:pageBreakBefore w:val="0"/>
        <w:kinsoku/>
        <w:wordWrap/>
        <w:overflowPunct/>
        <w:topLinePunct w:val="0"/>
        <w:bidi w:val="0"/>
        <w:adjustRightInd w:val="0"/>
        <w:snapToGrid w:val="0"/>
        <w:spacing w:beforeAutospacing="0" w:line="520" w:lineRule="exact"/>
        <w:ind w:left="1793" w:leftChars="304" w:hanging="1155" w:hangingChars="361"/>
        <w:jc w:val="left"/>
        <w:textAlignment w:val="auto"/>
        <w:rPr>
          <w:rFonts w:eastAsia="仿宋_GB2312"/>
          <w:sz w:val="32"/>
          <w:szCs w:val="32"/>
        </w:rPr>
      </w:pPr>
      <w:r>
        <w:rPr>
          <w:rFonts w:hint="eastAsia" w:eastAsia="仿宋_GB2312"/>
          <w:sz w:val="32"/>
          <w:szCs w:val="32"/>
        </w:rPr>
        <w:t>附件：</w:t>
      </w:r>
      <w:r>
        <w:rPr>
          <w:rFonts w:eastAsia="仿宋_GB2312"/>
          <w:sz w:val="32"/>
          <w:szCs w:val="32"/>
        </w:rPr>
        <w:t>1</w:t>
      </w:r>
      <w:r>
        <w:rPr>
          <w:rFonts w:hint="eastAsia" w:eastAsia="仿宋_GB2312"/>
          <w:sz w:val="32"/>
          <w:szCs w:val="32"/>
        </w:rPr>
        <w:t>.冶金园（锦丰镇）餐饮场所“瓶改管、瓶改电”工作专班成员名单</w:t>
      </w:r>
    </w:p>
    <w:p>
      <w:pPr>
        <w:keepNext w:val="0"/>
        <w:keepLines w:val="0"/>
        <w:pageBreakBefore w:val="0"/>
        <w:kinsoku/>
        <w:wordWrap/>
        <w:overflowPunct/>
        <w:topLinePunct w:val="0"/>
        <w:bidi w:val="0"/>
        <w:adjustRightInd w:val="0"/>
        <w:snapToGrid w:val="0"/>
        <w:spacing w:beforeAutospacing="0" w:line="520" w:lineRule="exact"/>
        <w:ind w:left="1491" w:leftChars="710" w:firstLine="99" w:firstLineChars="31"/>
        <w:jc w:val="left"/>
        <w:textAlignment w:val="auto"/>
        <w:rPr>
          <w:rFonts w:eastAsia="仿宋_GB2312"/>
        </w:rPr>
      </w:pPr>
      <w:r>
        <w:rPr>
          <w:rFonts w:hint="eastAsia"/>
          <w:sz w:val="32"/>
          <w:szCs w:val="32"/>
        </w:rPr>
        <w:t>2.</w:t>
      </w:r>
      <w:r>
        <w:rPr>
          <w:rFonts w:hint="eastAsia" w:eastAsia="仿宋_GB2312"/>
          <w:sz w:val="32"/>
          <w:szCs w:val="32"/>
        </w:rPr>
        <w:t>管道天然气商业配套安装基本要求</w:t>
      </w:r>
    </w:p>
    <w:p>
      <w:pPr>
        <w:keepNext w:val="0"/>
        <w:keepLines w:val="0"/>
        <w:pageBreakBefore w:val="0"/>
        <w:kinsoku/>
        <w:wordWrap/>
        <w:overflowPunct/>
        <w:topLinePunct w:val="0"/>
        <w:bidi w:val="0"/>
        <w:adjustRightInd w:val="0"/>
        <w:snapToGrid w:val="0"/>
        <w:spacing w:beforeAutospacing="0" w:line="520" w:lineRule="exact"/>
        <w:ind w:firstLine="1600" w:firstLineChars="500"/>
        <w:jc w:val="left"/>
        <w:textAlignment w:val="auto"/>
        <w:rPr>
          <w:rFonts w:hint="eastAsia" w:eastAsia="仿宋_GB2312"/>
          <w:spacing w:val="-20"/>
          <w:sz w:val="32"/>
          <w:szCs w:val="32"/>
        </w:rPr>
      </w:pPr>
      <w:r>
        <w:rPr>
          <w:rFonts w:hint="eastAsia" w:eastAsia="仿宋_GB2312"/>
          <w:sz w:val="32"/>
          <w:szCs w:val="32"/>
        </w:rPr>
        <w:t>3.冶金园（锦丰镇）</w:t>
      </w:r>
      <w:r>
        <w:rPr>
          <w:rFonts w:hint="eastAsia" w:eastAsia="仿宋_GB2312"/>
          <w:spacing w:val="-20"/>
          <w:sz w:val="32"/>
          <w:szCs w:val="32"/>
        </w:rPr>
        <w:t>餐饮场所“瓶改管、瓶改电”工作进</w:t>
      </w:r>
    </w:p>
    <w:p>
      <w:pPr>
        <w:keepNext w:val="0"/>
        <w:keepLines w:val="0"/>
        <w:pageBreakBefore w:val="0"/>
        <w:kinsoku/>
        <w:wordWrap/>
        <w:overflowPunct/>
        <w:topLinePunct w:val="0"/>
        <w:bidi w:val="0"/>
        <w:adjustRightInd w:val="0"/>
        <w:snapToGrid w:val="0"/>
        <w:spacing w:beforeAutospacing="0" w:line="520" w:lineRule="exact"/>
        <w:ind w:firstLine="1960" w:firstLineChars="700"/>
        <w:jc w:val="left"/>
        <w:textAlignment w:val="auto"/>
      </w:pPr>
      <w:r>
        <w:rPr>
          <w:rFonts w:hint="eastAsia" w:eastAsia="仿宋_GB2312"/>
          <w:spacing w:val="-20"/>
          <w:sz w:val="32"/>
          <w:szCs w:val="32"/>
        </w:rPr>
        <w:t>度汇总表</w:t>
      </w:r>
    </w:p>
    <w:p>
      <w:pPr>
        <w:keepNext w:val="0"/>
        <w:keepLines w:val="0"/>
        <w:pageBreakBefore w:val="0"/>
        <w:kinsoku/>
        <w:wordWrap/>
        <w:overflowPunct/>
        <w:topLinePunct w:val="0"/>
        <w:bidi w:val="0"/>
        <w:adjustRightInd w:val="0"/>
        <w:snapToGrid w:val="0"/>
        <w:spacing w:beforeAutospacing="0" w:line="520" w:lineRule="exact"/>
        <w:ind w:firstLine="1600" w:firstLineChars="500"/>
        <w:jc w:val="left"/>
        <w:textAlignment w:val="auto"/>
        <w:rPr>
          <w:rFonts w:eastAsia="仿宋_GB2312"/>
          <w:spacing w:val="-20"/>
          <w:sz w:val="32"/>
          <w:szCs w:val="32"/>
        </w:rPr>
      </w:pPr>
      <w:r>
        <w:rPr>
          <w:rFonts w:hint="eastAsia" w:eastAsia="仿宋_GB2312"/>
          <w:sz w:val="32"/>
          <w:szCs w:val="32"/>
        </w:rPr>
        <w:t>4.冶金园（锦丰镇）</w:t>
      </w:r>
      <w:r>
        <w:rPr>
          <w:rFonts w:hint="eastAsia" w:eastAsia="仿宋_GB2312"/>
          <w:spacing w:val="-20"/>
          <w:sz w:val="32"/>
          <w:szCs w:val="32"/>
        </w:rPr>
        <w:t>餐饮场所“瓶改管”工作进度明细表</w:t>
      </w:r>
    </w:p>
    <w:p>
      <w:pPr>
        <w:keepNext w:val="0"/>
        <w:keepLines w:val="0"/>
        <w:pageBreakBefore w:val="0"/>
        <w:kinsoku/>
        <w:wordWrap/>
        <w:overflowPunct/>
        <w:topLinePunct w:val="0"/>
        <w:bidi w:val="0"/>
        <w:adjustRightInd w:val="0"/>
        <w:snapToGrid w:val="0"/>
        <w:spacing w:beforeAutospacing="0" w:line="520" w:lineRule="exact"/>
        <w:ind w:firstLine="1600" w:firstLineChars="500"/>
        <w:jc w:val="left"/>
        <w:textAlignment w:val="auto"/>
        <w:rPr>
          <w:rFonts w:eastAsia="仿宋_GB2312"/>
          <w:spacing w:val="-20"/>
          <w:sz w:val="32"/>
          <w:szCs w:val="32"/>
        </w:rPr>
      </w:pPr>
      <w:r>
        <w:rPr>
          <w:rFonts w:hint="eastAsia" w:eastAsia="仿宋_GB2312"/>
          <w:sz w:val="32"/>
          <w:szCs w:val="32"/>
        </w:rPr>
        <w:t>5.冶金园（锦丰镇）</w:t>
      </w:r>
      <w:r>
        <w:rPr>
          <w:rFonts w:hint="eastAsia" w:eastAsia="仿宋_GB2312"/>
          <w:spacing w:val="-20"/>
          <w:sz w:val="32"/>
          <w:szCs w:val="32"/>
        </w:rPr>
        <w:t>餐饮场所“瓶改电”工作进度明细表</w:t>
      </w:r>
    </w:p>
    <w:p>
      <w:pPr>
        <w:pStyle w:val="18"/>
        <w:keepNext w:val="0"/>
        <w:keepLines w:val="0"/>
        <w:pageBreakBefore w:val="0"/>
        <w:kinsoku/>
        <w:wordWrap/>
        <w:overflowPunct/>
        <w:topLinePunct w:val="0"/>
        <w:bidi w:val="0"/>
        <w:spacing w:before="0" w:beforeAutospacing="0" w:line="520" w:lineRule="exact"/>
        <w:textAlignment w:val="auto"/>
      </w:pPr>
    </w:p>
    <w:p>
      <w:pPr>
        <w:pStyle w:val="17"/>
        <w:ind w:firstLine="640"/>
        <w:rPr>
          <w:rFonts w:hint="default"/>
        </w:rPr>
      </w:pPr>
    </w:p>
    <w:p>
      <w:pPr>
        <w:pStyle w:val="17"/>
        <w:ind w:firstLine="640"/>
        <w:rPr>
          <w:rFonts w:hint="default"/>
        </w:rPr>
      </w:pPr>
    </w:p>
    <w:p>
      <w:pPr>
        <w:pStyle w:val="17"/>
        <w:ind w:firstLine="640"/>
        <w:rPr>
          <w:rFonts w:hint="default"/>
        </w:rPr>
      </w:pPr>
    </w:p>
    <w:p>
      <w:pPr>
        <w:adjustRightInd w:val="0"/>
        <w:snapToGrid w:val="0"/>
        <w:spacing w:line="560" w:lineRule="exact"/>
        <w:jc w:val="left"/>
        <w:rPr>
          <w:rFonts w:eastAsia="黑体"/>
          <w:sz w:val="32"/>
          <w:szCs w:val="32"/>
        </w:rPr>
      </w:pPr>
    </w:p>
    <w:p>
      <w:pPr>
        <w:autoSpaceDE w:val="0"/>
        <w:autoSpaceDN w:val="0"/>
        <w:adjustRightInd w:val="0"/>
        <w:spacing w:line="560" w:lineRule="exact"/>
        <w:jc w:val="left"/>
        <w:rPr>
          <w:rFonts w:eastAsia="黑体"/>
          <w:sz w:val="32"/>
          <w:szCs w:val="32"/>
        </w:rPr>
      </w:pPr>
      <w:r>
        <w:rPr>
          <w:rFonts w:hint="eastAsia" w:eastAsia="黑体"/>
          <w:sz w:val="32"/>
          <w:szCs w:val="32"/>
        </w:rPr>
        <w:t>附件1</w:t>
      </w:r>
    </w:p>
    <w:p>
      <w:pPr>
        <w:snapToGrid w:val="0"/>
        <w:spacing w:before="200" w:line="560" w:lineRule="exact"/>
        <w:ind w:firstLine="880" w:firstLineChars="200"/>
        <w:jc w:val="center"/>
        <w:rPr>
          <w:rFonts w:eastAsia="方正小标宋简体"/>
          <w:sz w:val="44"/>
          <w:szCs w:val="44"/>
        </w:rPr>
      </w:pPr>
    </w:p>
    <w:p>
      <w:pPr>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园（镇）餐饮场所“瓶改管、瓶改电”</w:t>
      </w:r>
    </w:p>
    <w:p>
      <w:pPr>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工作专班成员名单</w:t>
      </w:r>
    </w:p>
    <w:p>
      <w:pPr>
        <w:keepNext w:val="0"/>
        <w:keepLines w:val="0"/>
        <w:pageBreakBefore w:val="0"/>
        <w:kinsoku/>
        <w:wordWrap/>
        <w:overflowPunct/>
        <w:topLinePunct w:val="0"/>
        <w:autoSpaceDE/>
        <w:autoSpaceDN/>
        <w:bidi w:val="0"/>
        <w:snapToGrid w:val="0"/>
        <w:spacing w:beforeAutospacing="0" w:line="520" w:lineRule="exact"/>
        <w:ind w:firstLine="640" w:firstLineChars="200"/>
        <w:textAlignment w:val="auto"/>
        <w:rPr>
          <w:rFonts w:eastAsia="仿宋_GB2312"/>
          <w:sz w:val="32"/>
        </w:rPr>
      </w:pPr>
    </w:p>
    <w:p>
      <w:pPr>
        <w:keepNext w:val="0"/>
        <w:keepLines w:val="0"/>
        <w:pageBreakBefore w:val="0"/>
        <w:kinsoku/>
        <w:wordWrap/>
        <w:overflowPunct/>
        <w:topLinePunct w:val="0"/>
        <w:autoSpaceDE/>
        <w:autoSpaceDN/>
        <w:bidi w:val="0"/>
        <w:snapToGrid w:val="0"/>
        <w:spacing w:beforeAutospacing="0" w:line="520" w:lineRule="exact"/>
        <w:ind w:firstLine="640" w:firstLineChars="200"/>
        <w:textAlignment w:val="auto"/>
        <w:rPr>
          <w:rFonts w:eastAsia="仿宋_GB2312"/>
          <w:color w:val="auto"/>
          <w:sz w:val="32"/>
          <w:highlight w:val="none"/>
        </w:rPr>
      </w:pPr>
      <w:r>
        <w:rPr>
          <w:rFonts w:hint="eastAsia" w:eastAsia="仿宋_GB2312"/>
          <w:sz w:val="32"/>
        </w:rPr>
        <w:t>为加强餐饮经营场所“瓶改管、瓶改电”工作的组织领导，根据《</w:t>
      </w:r>
      <w:r>
        <w:rPr>
          <w:rFonts w:hint="eastAsia" w:eastAsia="仿宋_GB2312"/>
          <w:bCs/>
          <w:sz w:val="32"/>
          <w:szCs w:val="32"/>
        </w:rPr>
        <w:t>张家港</w:t>
      </w:r>
      <w:r>
        <w:rPr>
          <w:rFonts w:hint="eastAsia" w:eastAsia="仿宋_GB2312"/>
          <w:bCs/>
          <w:sz w:val="32"/>
          <w:szCs w:val="32"/>
          <w:highlight w:val="none"/>
        </w:rPr>
        <w:t>市餐饮场所“瓶改管、瓶改电”集中改造工作实施方案</w:t>
      </w:r>
      <w:r>
        <w:rPr>
          <w:rFonts w:hint="eastAsia" w:eastAsia="仿宋_GB2312"/>
          <w:color w:val="auto"/>
          <w:sz w:val="32"/>
          <w:highlight w:val="none"/>
        </w:rPr>
        <w:t>》要求，研究决定成立冶金园（锦丰镇）餐饮场所“瓶改管、瓶改电”工作专班。成员名单如下：</w:t>
      </w:r>
    </w:p>
    <w:p>
      <w:pPr>
        <w:keepNext w:val="0"/>
        <w:keepLines w:val="0"/>
        <w:pageBreakBefore w:val="0"/>
        <w:kinsoku/>
        <w:wordWrap/>
        <w:overflowPunct/>
        <w:topLinePunct w:val="0"/>
        <w:autoSpaceDE/>
        <w:autoSpaceDN/>
        <w:bidi w:val="0"/>
        <w:spacing w:beforeAutospacing="0" w:line="520" w:lineRule="exact"/>
        <w:ind w:left="3518" w:leftChars="304" w:hanging="2880" w:hangingChars="900"/>
        <w:textAlignment w:val="auto"/>
        <w:rPr>
          <w:rFonts w:eastAsia="仿宋_GB2312"/>
          <w:color w:val="auto"/>
          <w:sz w:val="32"/>
          <w:szCs w:val="32"/>
          <w:highlight w:val="none"/>
        </w:rPr>
      </w:pPr>
      <w:r>
        <w:rPr>
          <w:rFonts w:hint="eastAsia" w:eastAsia="仿宋_GB2312"/>
          <w:color w:val="auto"/>
          <w:sz w:val="32"/>
          <w:szCs w:val="32"/>
          <w:highlight w:val="none"/>
        </w:rPr>
        <w:t xml:space="preserve">组 </w:t>
      </w:r>
      <w:r>
        <w:rPr>
          <w:rFonts w:eastAsia="仿宋_GB2312"/>
          <w:color w:val="auto"/>
          <w:sz w:val="32"/>
          <w:szCs w:val="32"/>
          <w:highlight w:val="none"/>
        </w:rPr>
        <w:t xml:space="preserve"> </w:t>
      </w:r>
      <w:r>
        <w:rPr>
          <w:rFonts w:hint="eastAsia" w:eastAsia="仿宋_GB2312"/>
          <w:color w:val="auto"/>
          <w:sz w:val="32"/>
          <w:szCs w:val="32"/>
          <w:highlight w:val="none"/>
        </w:rPr>
        <w:t xml:space="preserve">   </w:t>
      </w:r>
      <w:r>
        <w:rPr>
          <w:rFonts w:eastAsia="仿宋_GB2312"/>
          <w:color w:val="auto"/>
          <w:sz w:val="32"/>
          <w:szCs w:val="32"/>
          <w:highlight w:val="none"/>
        </w:rPr>
        <w:t xml:space="preserve"> </w:t>
      </w:r>
      <w:r>
        <w:rPr>
          <w:rFonts w:hint="eastAsia" w:eastAsia="仿宋_GB2312"/>
          <w:color w:val="auto"/>
          <w:sz w:val="32"/>
          <w:szCs w:val="32"/>
          <w:highlight w:val="none"/>
        </w:rPr>
        <w:t>长</w:t>
      </w:r>
      <w:r>
        <w:rPr>
          <w:rFonts w:eastAsia="仿宋_GB2312"/>
          <w:color w:val="auto"/>
          <w:sz w:val="32"/>
          <w:szCs w:val="32"/>
          <w:highlight w:val="none"/>
        </w:rPr>
        <w:t>：</w:t>
      </w:r>
      <w:r>
        <w:rPr>
          <w:rFonts w:hint="eastAsia" w:eastAsia="仿宋_GB2312"/>
          <w:color w:val="auto"/>
          <w:sz w:val="32"/>
          <w:szCs w:val="32"/>
          <w:highlight w:val="none"/>
        </w:rPr>
        <w:t>马春青  园党工委副书记、管委会主任</w:t>
      </w:r>
    </w:p>
    <w:p>
      <w:pPr>
        <w:keepNext w:val="0"/>
        <w:keepLines w:val="0"/>
        <w:pageBreakBefore w:val="0"/>
        <w:kinsoku/>
        <w:wordWrap/>
        <w:overflowPunct/>
        <w:topLinePunct w:val="0"/>
        <w:autoSpaceDE/>
        <w:autoSpaceDN/>
        <w:bidi w:val="0"/>
        <w:snapToGrid w:val="0"/>
        <w:spacing w:beforeAutospacing="0" w:line="520" w:lineRule="exact"/>
        <w:ind w:firstLine="640" w:firstLineChars="200"/>
        <w:textAlignment w:val="auto"/>
        <w:rPr>
          <w:rFonts w:eastAsia="仿宋_GB2312"/>
          <w:bCs/>
          <w:color w:val="auto"/>
          <w:sz w:val="32"/>
          <w:szCs w:val="32"/>
          <w:highlight w:val="none"/>
        </w:rPr>
      </w:pPr>
      <w:r>
        <w:rPr>
          <w:rFonts w:hint="eastAsia" w:eastAsia="仿宋_GB2312"/>
          <w:color w:val="auto"/>
          <w:sz w:val="32"/>
          <w:szCs w:val="32"/>
          <w:highlight w:val="none"/>
        </w:rPr>
        <w:t>常务副组长：</w:t>
      </w:r>
      <w:r>
        <w:rPr>
          <w:rFonts w:hint="eastAsia" w:eastAsia="仿宋_GB2312"/>
          <w:bCs/>
          <w:color w:val="auto"/>
          <w:sz w:val="32"/>
          <w:szCs w:val="32"/>
          <w:highlight w:val="none"/>
        </w:rPr>
        <w:t>黄建浩  园经济服务局局长</w:t>
      </w:r>
    </w:p>
    <w:p>
      <w:pPr>
        <w:keepNext w:val="0"/>
        <w:keepLines w:val="0"/>
        <w:pageBreakBefore w:val="0"/>
        <w:kinsoku/>
        <w:wordWrap/>
        <w:overflowPunct/>
        <w:topLinePunct w:val="0"/>
        <w:autoSpaceDE/>
        <w:autoSpaceDN/>
        <w:bidi w:val="0"/>
        <w:snapToGrid w:val="0"/>
        <w:spacing w:beforeAutospacing="0" w:line="520" w:lineRule="exact"/>
        <w:ind w:firstLine="2560" w:firstLineChars="800"/>
        <w:textAlignment w:val="auto"/>
        <w:rPr>
          <w:rFonts w:eastAsia="仿宋_GB2312"/>
          <w:bCs/>
          <w:color w:val="auto"/>
          <w:sz w:val="32"/>
          <w:szCs w:val="32"/>
          <w:highlight w:val="none"/>
        </w:rPr>
      </w:pPr>
      <w:r>
        <w:rPr>
          <w:rFonts w:hint="eastAsia" w:eastAsia="仿宋_GB2312"/>
          <w:bCs/>
          <w:color w:val="auto"/>
          <w:sz w:val="32"/>
          <w:szCs w:val="32"/>
          <w:highlight w:val="none"/>
        </w:rPr>
        <w:t xml:space="preserve">许晓明  园规划建设局局长 </w:t>
      </w:r>
    </w:p>
    <w:p>
      <w:pPr>
        <w:keepNext w:val="0"/>
        <w:keepLines w:val="0"/>
        <w:pageBreakBefore w:val="0"/>
        <w:kinsoku/>
        <w:wordWrap/>
        <w:overflowPunct/>
        <w:topLinePunct w:val="0"/>
        <w:autoSpaceDE/>
        <w:autoSpaceDN/>
        <w:bidi w:val="0"/>
        <w:snapToGrid w:val="0"/>
        <w:spacing w:beforeAutospacing="0" w:line="520" w:lineRule="exact"/>
        <w:ind w:left="3834" w:leftChars="1216" w:hanging="1280" w:hangingChars="400"/>
        <w:textAlignment w:val="auto"/>
        <w:rPr>
          <w:color w:val="auto"/>
          <w:highlight w:val="none"/>
        </w:rPr>
      </w:pPr>
      <w:r>
        <w:rPr>
          <w:rFonts w:hint="eastAsia" w:eastAsia="仿宋_GB2312"/>
          <w:bCs/>
          <w:color w:val="auto"/>
          <w:sz w:val="32"/>
          <w:szCs w:val="32"/>
          <w:highlight w:val="none"/>
        </w:rPr>
        <w:t>朱礼斌  镇党委副书记、园政法和社会管理办公室主任</w:t>
      </w:r>
      <w:r>
        <w:rPr>
          <w:rFonts w:hint="eastAsia"/>
          <w:color w:val="auto"/>
          <w:highlight w:val="none"/>
        </w:rPr>
        <w:t xml:space="preserve">          </w:t>
      </w:r>
    </w:p>
    <w:p>
      <w:pPr>
        <w:keepNext w:val="0"/>
        <w:keepLines w:val="0"/>
        <w:pageBreakBefore w:val="0"/>
        <w:kinsoku/>
        <w:wordWrap/>
        <w:overflowPunct/>
        <w:topLinePunct w:val="0"/>
        <w:autoSpaceDE/>
        <w:autoSpaceDN/>
        <w:bidi w:val="0"/>
        <w:spacing w:beforeAutospacing="0" w:line="520" w:lineRule="exact"/>
        <w:ind w:left="3838" w:leftChars="304" w:hanging="3200" w:hangingChars="1000"/>
        <w:jc w:val="left"/>
        <w:textAlignment w:val="auto"/>
        <w:rPr>
          <w:rFonts w:eastAsia="仿宋_GB2312"/>
          <w:color w:val="auto"/>
          <w:sz w:val="32"/>
          <w:szCs w:val="32"/>
          <w:highlight w:val="none"/>
        </w:rPr>
      </w:pPr>
      <w:r>
        <w:rPr>
          <w:rFonts w:eastAsia="仿宋_GB2312"/>
          <w:color w:val="auto"/>
          <w:sz w:val="32"/>
          <w:szCs w:val="32"/>
          <w:highlight w:val="none"/>
        </w:rPr>
        <w:t xml:space="preserve">副 </w:t>
      </w:r>
      <w:r>
        <w:rPr>
          <w:rFonts w:hint="eastAsia" w:eastAsia="仿宋_GB2312"/>
          <w:color w:val="auto"/>
          <w:sz w:val="32"/>
          <w:szCs w:val="32"/>
          <w:highlight w:val="none"/>
        </w:rPr>
        <w:t xml:space="preserve"> 组  </w:t>
      </w:r>
      <w:r>
        <w:rPr>
          <w:rFonts w:eastAsia="仿宋_GB2312"/>
          <w:color w:val="auto"/>
          <w:sz w:val="32"/>
          <w:szCs w:val="32"/>
          <w:highlight w:val="none"/>
        </w:rPr>
        <w:t>长：</w:t>
      </w:r>
      <w:r>
        <w:rPr>
          <w:rFonts w:hint="eastAsia" w:eastAsia="仿宋_GB2312"/>
          <w:color w:val="auto"/>
          <w:sz w:val="32"/>
          <w:szCs w:val="32"/>
          <w:highlight w:val="none"/>
        </w:rPr>
        <w:t>陈卫菊  镇党委副书记、政协工委主任、锦丰镇区综合服务办公室主任</w:t>
      </w:r>
    </w:p>
    <w:p>
      <w:pPr>
        <w:keepNext w:val="0"/>
        <w:keepLines w:val="0"/>
        <w:pageBreakBefore w:val="0"/>
        <w:kinsoku/>
        <w:wordWrap/>
        <w:overflowPunct/>
        <w:topLinePunct w:val="0"/>
        <w:autoSpaceDE/>
        <w:autoSpaceDN/>
        <w:bidi w:val="0"/>
        <w:spacing w:beforeAutospacing="0" w:line="520" w:lineRule="exact"/>
        <w:ind w:left="3520" w:hanging="3520" w:hangingChars="1100"/>
        <w:jc w:val="left"/>
        <w:textAlignment w:val="auto"/>
        <w:rPr>
          <w:rFonts w:eastAsia="仿宋_GB2312"/>
          <w:color w:val="auto"/>
          <w:sz w:val="32"/>
          <w:szCs w:val="32"/>
          <w:highlight w:val="none"/>
        </w:rPr>
      </w:pPr>
      <w:r>
        <w:rPr>
          <w:rFonts w:hint="eastAsia" w:eastAsia="仿宋_GB2312"/>
          <w:color w:val="auto"/>
          <w:sz w:val="32"/>
          <w:szCs w:val="32"/>
          <w:highlight w:val="none"/>
        </w:rPr>
        <w:t xml:space="preserve">                惠正刚  镇党委委员、三兴办事处党工委书记</w:t>
      </w:r>
    </w:p>
    <w:p>
      <w:pPr>
        <w:keepNext w:val="0"/>
        <w:keepLines w:val="0"/>
        <w:pageBreakBefore w:val="0"/>
        <w:kinsoku/>
        <w:wordWrap/>
        <w:overflowPunct/>
        <w:topLinePunct w:val="0"/>
        <w:autoSpaceDE/>
        <w:autoSpaceDN/>
        <w:bidi w:val="0"/>
        <w:spacing w:beforeAutospacing="0" w:line="520" w:lineRule="exact"/>
        <w:ind w:left="3514" w:leftChars="1216" w:hanging="960" w:hangingChars="300"/>
        <w:jc w:val="left"/>
        <w:textAlignment w:val="auto"/>
        <w:rPr>
          <w:rFonts w:hint="eastAsia" w:eastAsia="仿宋_GB2312"/>
          <w:color w:val="auto"/>
          <w:sz w:val="32"/>
          <w:szCs w:val="32"/>
          <w:highlight w:val="none"/>
        </w:rPr>
      </w:pPr>
      <w:r>
        <w:rPr>
          <w:rFonts w:hint="eastAsia" w:eastAsia="仿宋_GB2312"/>
          <w:color w:val="auto"/>
          <w:sz w:val="32"/>
          <w:szCs w:val="32"/>
          <w:highlight w:val="none"/>
        </w:rPr>
        <w:t>钱国浩  园政法和社会管理办公室副主任</w:t>
      </w:r>
    </w:p>
    <w:p>
      <w:pPr>
        <w:keepNext w:val="0"/>
        <w:keepLines w:val="0"/>
        <w:pageBreakBefore w:val="0"/>
        <w:kinsoku/>
        <w:wordWrap/>
        <w:overflowPunct/>
        <w:topLinePunct w:val="0"/>
        <w:autoSpaceDE/>
        <w:autoSpaceDN/>
        <w:bidi w:val="0"/>
        <w:spacing w:beforeAutospacing="0" w:line="520" w:lineRule="exact"/>
        <w:ind w:left="3514" w:leftChars="1216" w:hanging="960" w:hangingChars="300"/>
        <w:jc w:val="left"/>
        <w:textAlignment w:val="auto"/>
        <w:rPr>
          <w:color w:val="auto"/>
          <w:highlight w:val="none"/>
        </w:rPr>
      </w:pPr>
      <w:r>
        <w:rPr>
          <w:rFonts w:hint="eastAsia" w:eastAsia="仿宋_GB2312"/>
          <w:color w:val="auto"/>
          <w:sz w:val="32"/>
          <w:szCs w:val="32"/>
          <w:highlight w:val="none"/>
        </w:rPr>
        <w:t>王  振  镇副镇长</w:t>
      </w:r>
    </w:p>
    <w:p>
      <w:pPr>
        <w:keepNext w:val="0"/>
        <w:keepLines w:val="0"/>
        <w:pageBreakBefore w:val="0"/>
        <w:kinsoku/>
        <w:wordWrap/>
        <w:overflowPunct/>
        <w:topLinePunct w:val="0"/>
        <w:autoSpaceDE/>
        <w:autoSpaceDN/>
        <w:bidi w:val="0"/>
        <w:spacing w:beforeAutospacing="0" w:line="520" w:lineRule="exact"/>
        <w:ind w:left="3520" w:hanging="3520" w:hangingChars="1100"/>
        <w:jc w:val="left"/>
        <w:textAlignment w:val="auto"/>
        <w:rPr>
          <w:rFonts w:eastAsia="仿宋_GB2312"/>
          <w:color w:val="auto"/>
          <w:sz w:val="32"/>
          <w:szCs w:val="32"/>
          <w:highlight w:val="none"/>
        </w:rPr>
      </w:pPr>
      <w:r>
        <w:rPr>
          <w:rFonts w:hint="eastAsia" w:eastAsia="仿宋_GB2312"/>
          <w:color w:val="auto"/>
          <w:sz w:val="32"/>
          <w:szCs w:val="32"/>
          <w:highlight w:val="none"/>
        </w:rPr>
        <w:t xml:space="preserve">         </w:t>
      </w:r>
      <w:r>
        <w:rPr>
          <w:rFonts w:hint="eastAsia" w:eastAsia="仿宋_GB2312"/>
          <w:color w:val="auto"/>
          <w:kern w:val="0"/>
          <w:sz w:val="32"/>
          <w:szCs w:val="32"/>
          <w:highlight w:val="none"/>
        </w:rPr>
        <w:t xml:space="preserve">       </w:t>
      </w:r>
      <w:r>
        <w:rPr>
          <w:rFonts w:hint="eastAsia" w:eastAsia="仿宋_GB2312"/>
          <w:color w:val="auto"/>
          <w:sz w:val="32"/>
          <w:szCs w:val="32"/>
          <w:highlight w:val="none"/>
        </w:rPr>
        <w:t>张  涛  镇副镇长、合兴办事处党工委书记</w:t>
      </w:r>
    </w:p>
    <w:p>
      <w:pPr>
        <w:keepNext w:val="0"/>
        <w:keepLines w:val="0"/>
        <w:pageBreakBefore w:val="0"/>
        <w:kinsoku/>
        <w:wordWrap/>
        <w:overflowPunct/>
        <w:topLinePunct w:val="0"/>
        <w:autoSpaceDE/>
        <w:autoSpaceDN/>
        <w:bidi w:val="0"/>
        <w:spacing w:beforeAutospacing="0" w:line="520" w:lineRule="exact"/>
        <w:ind w:left="3520" w:hanging="3520" w:hangingChars="1100"/>
        <w:jc w:val="left"/>
        <w:textAlignment w:val="auto"/>
        <w:rPr>
          <w:rFonts w:eastAsia="仿宋_GB2312"/>
          <w:color w:val="auto"/>
          <w:sz w:val="32"/>
          <w:szCs w:val="32"/>
          <w:highlight w:val="none"/>
        </w:rPr>
      </w:pPr>
      <w:r>
        <w:rPr>
          <w:rFonts w:hint="eastAsia" w:eastAsia="仿宋_GB2312"/>
          <w:color w:val="auto"/>
          <w:sz w:val="32"/>
          <w:szCs w:val="32"/>
          <w:highlight w:val="none"/>
        </w:rPr>
        <w:t xml:space="preserve">                陈银洲  镇经济服务中心主任</w:t>
      </w:r>
    </w:p>
    <w:p>
      <w:pPr>
        <w:keepNext w:val="0"/>
        <w:keepLines w:val="0"/>
        <w:pageBreakBefore w:val="0"/>
        <w:kinsoku/>
        <w:wordWrap/>
        <w:overflowPunct/>
        <w:topLinePunct w:val="0"/>
        <w:autoSpaceDE/>
        <w:autoSpaceDN/>
        <w:bidi w:val="0"/>
        <w:spacing w:beforeAutospacing="0" w:line="520" w:lineRule="exact"/>
        <w:ind w:left="3514" w:leftChars="1216" w:hanging="960" w:hangingChars="300"/>
        <w:jc w:val="left"/>
        <w:textAlignment w:val="auto"/>
        <w:rPr>
          <w:rFonts w:eastAsia="仿宋_GB2312"/>
          <w:color w:val="auto"/>
          <w:sz w:val="32"/>
          <w:szCs w:val="32"/>
          <w:highlight w:val="none"/>
        </w:rPr>
      </w:pPr>
      <w:r>
        <w:rPr>
          <w:rFonts w:hint="eastAsia" w:eastAsia="仿宋_GB2312"/>
          <w:color w:val="auto"/>
          <w:sz w:val="32"/>
          <w:szCs w:val="32"/>
          <w:highlight w:val="none"/>
        </w:rPr>
        <w:t>赵向东  锦丰镇三级主任科员</w:t>
      </w:r>
    </w:p>
    <w:p>
      <w:pPr>
        <w:keepNext w:val="0"/>
        <w:keepLines w:val="0"/>
        <w:pageBreakBefore w:val="0"/>
        <w:kinsoku/>
        <w:wordWrap/>
        <w:overflowPunct/>
        <w:topLinePunct w:val="0"/>
        <w:autoSpaceDE/>
        <w:autoSpaceDN/>
        <w:bidi w:val="0"/>
        <w:spacing w:beforeAutospacing="0" w:line="520" w:lineRule="exact"/>
        <w:ind w:left="3514" w:leftChars="1216" w:hanging="960" w:hangingChars="300"/>
        <w:jc w:val="left"/>
        <w:textAlignment w:val="auto"/>
        <w:rPr>
          <w:color w:val="auto"/>
          <w:highlight w:val="none"/>
        </w:rPr>
      </w:pPr>
      <w:r>
        <w:rPr>
          <w:rFonts w:hint="eastAsia" w:eastAsia="仿宋_GB2312"/>
          <w:color w:val="auto"/>
          <w:sz w:val="32"/>
          <w:szCs w:val="32"/>
          <w:highlight w:val="none"/>
        </w:rPr>
        <w:t xml:space="preserve">张  锋 </w:t>
      </w:r>
      <w:r>
        <w:rPr>
          <w:rFonts w:eastAsia="仿宋_GB2312"/>
          <w:color w:val="auto"/>
          <w:sz w:val="32"/>
          <w:szCs w:val="32"/>
          <w:highlight w:val="none"/>
        </w:rPr>
        <w:t xml:space="preserve"> </w:t>
      </w:r>
      <w:r>
        <w:rPr>
          <w:rFonts w:hint="eastAsia" w:eastAsia="仿宋_GB2312"/>
          <w:color w:val="auto"/>
          <w:sz w:val="32"/>
          <w:szCs w:val="32"/>
          <w:highlight w:val="none"/>
        </w:rPr>
        <w:t>市市场监管局锦丰分局局长</w:t>
      </w:r>
    </w:p>
    <w:p>
      <w:pPr>
        <w:keepNext w:val="0"/>
        <w:keepLines w:val="0"/>
        <w:pageBreakBefore w:val="0"/>
        <w:kinsoku/>
        <w:wordWrap/>
        <w:overflowPunct/>
        <w:topLinePunct w:val="0"/>
        <w:autoSpaceDE/>
        <w:autoSpaceDN/>
        <w:bidi w:val="0"/>
        <w:spacing w:beforeAutospacing="0" w:line="520" w:lineRule="exact"/>
        <w:ind w:firstLine="640" w:firstLineChars="200"/>
        <w:textAlignment w:val="auto"/>
        <w:rPr>
          <w:rFonts w:eastAsia="仿宋_GB2312"/>
          <w:color w:val="auto"/>
          <w:sz w:val="32"/>
          <w:szCs w:val="32"/>
          <w:highlight w:val="none"/>
        </w:rPr>
      </w:pPr>
      <w:r>
        <w:rPr>
          <w:rFonts w:hint="eastAsia" w:eastAsia="仿宋_GB2312"/>
          <w:color w:val="auto"/>
          <w:sz w:val="32"/>
          <w:szCs w:val="32"/>
          <w:highlight w:val="none"/>
        </w:rPr>
        <w:t>成   　 员：</w:t>
      </w:r>
      <w:r>
        <w:rPr>
          <w:color w:val="auto"/>
          <w:highlight w:val="none"/>
        </w:rPr>
        <w:fldChar w:fldCharType="begin"/>
      </w:r>
      <w:r>
        <w:rPr>
          <w:color w:val="auto"/>
          <w:highlight w:val="none"/>
        </w:rPr>
        <w:instrText xml:space="preserve"> HYPERLINK "javascript:;" </w:instrText>
      </w:r>
      <w:r>
        <w:rPr>
          <w:color w:val="auto"/>
          <w:highlight w:val="none"/>
        </w:rPr>
        <w:fldChar w:fldCharType="separate"/>
      </w:r>
      <w:r>
        <w:rPr>
          <w:rFonts w:hint="eastAsia" w:eastAsia="仿宋_GB2312"/>
          <w:color w:val="auto"/>
          <w:sz w:val="32"/>
          <w:szCs w:val="32"/>
          <w:highlight w:val="none"/>
        </w:rPr>
        <w:t>王文祥</w:t>
      </w:r>
      <w:r>
        <w:rPr>
          <w:rFonts w:hint="eastAsia" w:eastAsia="仿宋_GB2312"/>
          <w:color w:val="auto"/>
          <w:sz w:val="32"/>
          <w:szCs w:val="32"/>
          <w:highlight w:val="none"/>
        </w:rPr>
        <w:fldChar w:fldCharType="end"/>
      </w:r>
      <w:r>
        <w:rPr>
          <w:rFonts w:hint="eastAsia" w:eastAsia="仿宋_GB2312"/>
          <w:color w:val="auto"/>
          <w:sz w:val="32"/>
          <w:szCs w:val="32"/>
          <w:highlight w:val="none"/>
        </w:rPr>
        <w:t>　锦丰镇财政所所长</w:t>
      </w:r>
    </w:p>
    <w:p>
      <w:pPr>
        <w:keepNext w:val="0"/>
        <w:keepLines w:val="0"/>
        <w:pageBreakBefore w:val="0"/>
        <w:kinsoku/>
        <w:wordWrap/>
        <w:overflowPunct/>
        <w:topLinePunct w:val="0"/>
        <w:autoSpaceDE/>
        <w:autoSpaceDN/>
        <w:bidi w:val="0"/>
        <w:spacing w:beforeAutospacing="0" w:line="520" w:lineRule="exact"/>
        <w:ind w:firstLine="2560" w:firstLineChars="800"/>
        <w:textAlignment w:val="auto"/>
        <w:rPr>
          <w:rFonts w:eastAsia="仿宋_GB2312"/>
          <w:color w:val="auto"/>
          <w:highlight w:val="none"/>
        </w:rPr>
      </w:pPr>
      <w:r>
        <w:rPr>
          <w:rFonts w:hint="eastAsia" w:eastAsia="仿宋_GB2312"/>
          <w:color w:val="auto"/>
          <w:sz w:val="32"/>
          <w:szCs w:val="32"/>
          <w:highlight w:val="none"/>
        </w:rPr>
        <w:t>孟  强　园规划建设局建设管理科科长</w:t>
      </w:r>
    </w:p>
    <w:p>
      <w:pPr>
        <w:keepNext w:val="0"/>
        <w:keepLines w:val="0"/>
        <w:pageBreakBefore w:val="0"/>
        <w:kinsoku/>
        <w:wordWrap/>
        <w:overflowPunct/>
        <w:topLinePunct w:val="0"/>
        <w:autoSpaceDE/>
        <w:autoSpaceDN/>
        <w:bidi w:val="0"/>
        <w:spacing w:beforeAutospacing="0" w:line="520" w:lineRule="exact"/>
        <w:ind w:firstLine="2560" w:firstLineChars="800"/>
        <w:textAlignment w:val="auto"/>
        <w:rPr>
          <w:rFonts w:eastAsia="仿宋_GB2312"/>
          <w:color w:val="auto"/>
          <w:sz w:val="32"/>
          <w:szCs w:val="32"/>
          <w:highlight w:val="none"/>
        </w:rPr>
      </w:pPr>
      <w:r>
        <w:rPr>
          <w:rFonts w:hint="eastAsia" w:eastAsia="仿宋_GB2312"/>
          <w:color w:val="auto"/>
          <w:sz w:val="32"/>
          <w:szCs w:val="32"/>
          <w:highlight w:val="none"/>
        </w:rPr>
        <w:t>侯  波　园规划建设局公用事业科科长</w:t>
      </w:r>
    </w:p>
    <w:p>
      <w:pPr>
        <w:keepNext w:val="0"/>
        <w:keepLines w:val="0"/>
        <w:pageBreakBefore w:val="0"/>
        <w:kinsoku/>
        <w:wordWrap/>
        <w:overflowPunct/>
        <w:topLinePunct w:val="0"/>
        <w:autoSpaceDE/>
        <w:autoSpaceDN/>
        <w:bidi w:val="0"/>
        <w:spacing w:beforeAutospacing="0" w:line="520" w:lineRule="exact"/>
        <w:ind w:left="3520" w:hanging="3520" w:hangingChars="1100"/>
        <w:textAlignment w:val="auto"/>
        <w:rPr>
          <w:rFonts w:eastAsia="仿宋_GB2312"/>
          <w:color w:val="auto"/>
          <w:sz w:val="32"/>
          <w:szCs w:val="32"/>
          <w:highlight w:val="none"/>
        </w:rPr>
      </w:pPr>
      <w:r>
        <w:rPr>
          <w:rFonts w:hint="eastAsia" w:eastAsia="仿宋_GB2312"/>
          <w:color w:val="auto"/>
          <w:sz w:val="32"/>
          <w:szCs w:val="32"/>
          <w:highlight w:val="none"/>
        </w:rPr>
        <w:t>　　　　        陈  湉  园经济服务局商贸服务科科长　</w:t>
      </w:r>
    </w:p>
    <w:p>
      <w:pPr>
        <w:keepNext w:val="0"/>
        <w:keepLines w:val="0"/>
        <w:pageBreakBefore w:val="0"/>
        <w:kinsoku/>
        <w:wordWrap/>
        <w:overflowPunct/>
        <w:topLinePunct w:val="0"/>
        <w:autoSpaceDE/>
        <w:autoSpaceDN/>
        <w:bidi w:val="0"/>
        <w:spacing w:beforeAutospacing="0" w:line="520" w:lineRule="exact"/>
        <w:ind w:left="3514" w:leftChars="1216" w:hanging="960" w:hangingChars="300"/>
        <w:textAlignment w:val="auto"/>
        <w:rPr>
          <w:rFonts w:eastAsia="仿宋_GB2312"/>
          <w:color w:val="auto"/>
          <w:sz w:val="32"/>
          <w:szCs w:val="32"/>
          <w:highlight w:val="none"/>
        </w:rPr>
      </w:pPr>
      <w:r>
        <w:rPr>
          <w:rFonts w:hint="eastAsia" w:eastAsia="仿宋_GB2312"/>
          <w:color w:val="auto"/>
          <w:sz w:val="32"/>
          <w:szCs w:val="32"/>
          <w:highlight w:val="none"/>
        </w:rPr>
        <w:t>袁  凯　园规划建设局规划科副科长</w:t>
      </w:r>
    </w:p>
    <w:p>
      <w:pPr>
        <w:keepNext w:val="0"/>
        <w:keepLines w:val="0"/>
        <w:pageBreakBefore w:val="0"/>
        <w:kinsoku/>
        <w:wordWrap/>
        <w:overflowPunct/>
        <w:topLinePunct w:val="0"/>
        <w:autoSpaceDE/>
        <w:autoSpaceDN/>
        <w:bidi w:val="0"/>
        <w:spacing w:beforeAutospacing="0" w:line="520" w:lineRule="exact"/>
        <w:ind w:left="3834" w:leftChars="1216" w:hanging="1280" w:hangingChars="400"/>
        <w:textAlignment w:val="auto"/>
        <w:rPr>
          <w:rFonts w:eastAsia="仿宋_GB2312"/>
          <w:color w:val="auto"/>
          <w:sz w:val="32"/>
          <w:szCs w:val="32"/>
          <w:highlight w:val="none"/>
        </w:rPr>
      </w:pPr>
      <w:r>
        <w:rPr>
          <w:rFonts w:hint="eastAsia" w:eastAsia="仿宋_GB2312"/>
          <w:color w:val="auto"/>
          <w:sz w:val="32"/>
          <w:szCs w:val="32"/>
          <w:highlight w:val="none"/>
        </w:rPr>
        <w:t xml:space="preserve">彭毅君 </w:t>
      </w:r>
      <w:r>
        <w:rPr>
          <w:rFonts w:hint="eastAsia" w:eastAsia="仿宋_GB2312"/>
          <w:color w:val="auto"/>
          <w:sz w:val="32"/>
          <w:szCs w:val="32"/>
          <w:highlight w:val="none"/>
          <w:lang w:val="en-US" w:eastAsia="zh-CN"/>
        </w:rPr>
        <w:t xml:space="preserve"> </w:t>
      </w:r>
      <w:r>
        <w:rPr>
          <w:rFonts w:hint="eastAsia" w:eastAsia="仿宋_GB2312"/>
          <w:color w:val="auto"/>
          <w:sz w:val="32"/>
          <w:szCs w:val="32"/>
          <w:highlight w:val="none"/>
        </w:rPr>
        <w:t>园政法和社会管理办公室网格化联动分中心副股级干部</w:t>
      </w:r>
    </w:p>
    <w:p>
      <w:pPr>
        <w:keepNext w:val="0"/>
        <w:keepLines w:val="0"/>
        <w:pageBreakBefore w:val="0"/>
        <w:kinsoku/>
        <w:wordWrap/>
        <w:overflowPunct/>
        <w:topLinePunct w:val="0"/>
        <w:autoSpaceDE/>
        <w:autoSpaceDN/>
        <w:bidi w:val="0"/>
        <w:spacing w:beforeAutospacing="0" w:line="520" w:lineRule="exact"/>
        <w:ind w:left="3834" w:leftChars="1216" w:hanging="1280" w:hangingChars="400"/>
        <w:textAlignment w:val="auto"/>
        <w:rPr>
          <w:rFonts w:eastAsia="仿宋_GB2312"/>
          <w:color w:val="auto"/>
          <w:sz w:val="32"/>
          <w:szCs w:val="32"/>
          <w:highlight w:val="none"/>
        </w:rPr>
      </w:pPr>
      <w:r>
        <w:rPr>
          <w:rFonts w:hint="eastAsia" w:eastAsia="仿宋_GB2312"/>
          <w:color w:val="auto"/>
          <w:sz w:val="32"/>
          <w:szCs w:val="32"/>
          <w:highlight w:val="none"/>
        </w:rPr>
        <w:t>刘洪华  镇综合行政执法局执法三中队副中</w:t>
      </w:r>
    </w:p>
    <w:p>
      <w:pPr>
        <w:keepNext w:val="0"/>
        <w:keepLines w:val="0"/>
        <w:pageBreakBefore w:val="0"/>
        <w:kinsoku/>
        <w:wordWrap/>
        <w:overflowPunct/>
        <w:topLinePunct w:val="0"/>
        <w:autoSpaceDE/>
        <w:autoSpaceDN/>
        <w:bidi w:val="0"/>
        <w:spacing w:beforeAutospacing="0" w:line="520" w:lineRule="exact"/>
        <w:ind w:firstLine="3840" w:firstLineChars="1200"/>
        <w:textAlignment w:val="auto"/>
        <w:rPr>
          <w:rFonts w:eastAsia="仿宋_GB2312"/>
          <w:color w:val="auto"/>
          <w:sz w:val="32"/>
          <w:szCs w:val="32"/>
          <w:highlight w:val="none"/>
        </w:rPr>
      </w:pPr>
      <w:r>
        <w:rPr>
          <w:rFonts w:hint="eastAsia" w:eastAsia="仿宋_GB2312"/>
          <w:color w:val="auto"/>
          <w:sz w:val="32"/>
          <w:szCs w:val="32"/>
          <w:highlight w:val="none"/>
        </w:rPr>
        <w:t>队长</w:t>
      </w:r>
    </w:p>
    <w:p>
      <w:pPr>
        <w:keepNext w:val="0"/>
        <w:keepLines w:val="0"/>
        <w:pageBreakBefore w:val="0"/>
        <w:kinsoku/>
        <w:wordWrap/>
        <w:overflowPunct/>
        <w:topLinePunct w:val="0"/>
        <w:autoSpaceDE/>
        <w:autoSpaceDN/>
        <w:bidi w:val="0"/>
        <w:spacing w:beforeAutospacing="0" w:line="520" w:lineRule="exact"/>
        <w:ind w:left="2554" w:leftChars="1216"/>
        <w:textAlignment w:val="auto"/>
        <w:rPr>
          <w:rFonts w:eastAsia="仿宋_GB2312"/>
          <w:color w:val="auto"/>
          <w:sz w:val="32"/>
          <w:szCs w:val="32"/>
          <w:highlight w:val="none"/>
        </w:rPr>
      </w:pPr>
      <w:r>
        <w:rPr>
          <w:rFonts w:hint="eastAsia" w:eastAsia="仿宋_GB2312"/>
          <w:color w:val="auto"/>
          <w:sz w:val="32"/>
          <w:szCs w:val="32"/>
          <w:highlight w:val="none"/>
        </w:rPr>
        <w:t>沈  翔  合兴派出所所长</w:t>
      </w:r>
    </w:p>
    <w:p>
      <w:pPr>
        <w:keepNext w:val="0"/>
        <w:keepLines w:val="0"/>
        <w:pageBreakBefore w:val="0"/>
        <w:kinsoku/>
        <w:wordWrap/>
        <w:overflowPunct/>
        <w:topLinePunct w:val="0"/>
        <w:autoSpaceDE/>
        <w:autoSpaceDN/>
        <w:bidi w:val="0"/>
        <w:spacing w:beforeAutospacing="0" w:line="520" w:lineRule="exact"/>
        <w:textAlignment w:val="auto"/>
        <w:rPr>
          <w:rFonts w:eastAsia="仿宋_GB2312"/>
          <w:color w:val="auto"/>
          <w:sz w:val="32"/>
          <w:szCs w:val="32"/>
          <w:highlight w:val="none"/>
        </w:rPr>
      </w:pPr>
      <w:r>
        <w:rPr>
          <w:rFonts w:hint="eastAsia" w:eastAsia="仿宋_GB2312"/>
          <w:color w:val="auto"/>
          <w:sz w:val="32"/>
          <w:szCs w:val="32"/>
          <w:highlight w:val="none"/>
        </w:rPr>
        <w:t>　　　　　      郑天龙　三兴派出所所长</w:t>
      </w:r>
    </w:p>
    <w:p>
      <w:pPr>
        <w:keepNext w:val="0"/>
        <w:keepLines w:val="0"/>
        <w:pageBreakBefore w:val="0"/>
        <w:kinsoku/>
        <w:wordWrap/>
        <w:overflowPunct/>
        <w:topLinePunct w:val="0"/>
        <w:autoSpaceDE/>
        <w:autoSpaceDN/>
        <w:bidi w:val="0"/>
        <w:spacing w:beforeAutospacing="0" w:line="520" w:lineRule="exact"/>
        <w:ind w:firstLine="2560" w:firstLineChars="800"/>
        <w:textAlignment w:val="auto"/>
        <w:rPr>
          <w:rFonts w:eastAsia="仿宋_GB2312"/>
          <w:color w:val="auto"/>
          <w:sz w:val="32"/>
          <w:szCs w:val="32"/>
          <w:highlight w:val="none"/>
        </w:rPr>
      </w:pPr>
      <w:r>
        <w:rPr>
          <w:rFonts w:hint="eastAsia" w:eastAsia="仿宋_GB2312"/>
          <w:color w:val="auto"/>
          <w:sz w:val="32"/>
          <w:szCs w:val="32"/>
          <w:highlight w:val="none"/>
        </w:rPr>
        <w:t>朱本绪  锦丰派出指导员</w:t>
      </w:r>
    </w:p>
    <w:p>
      <w:pPr>
        <w:keepNext w:val="0"/>
        <w:keepLines w:val="0"/>
        <w:pageBreakBefore w:val="0"/>
        <w:kinsoku/>
        <w:wordWrap/>
        <w:overflowPunct/>
        <w:topLinePunct w:val="0"/>
        <w:autoSpaceDE/>
        <w:autoSpaceDN/>
        <w:bidi w:val="0"/>
        <w:spacing w:beforeAutospacing="0" w:line="520" w:lineRule="exact"/>
        <w:ind w:firstLine="2560" w:firstLineChars="800"/>
        <w:textAlignment w:val="auto"/>
        <w:rPr>
          <w:rFonts w:eastAsia="仿宋_GB2312"/>
          <w:color w:val="auto"/>
          <w:sz w:val="32"/>
          <w:szCs w:val="32"/>
          <w:highlight w:val="none"/>
        </w:rPr>
      </w:pPr>
      <w:r>
        <w:rPr>
          <w:rFonts w:hint="eastAsia" w:eastAsia="仿宋_GB2312"/>
          <w:color w:val="auto"/>
          <w:sz w:val="32"/>
          <w:szCs w:val="32"/>
          <w:highlight w:val="none"/>
        </w:rPr>
        <w:t>包昰星  市场监管局锦丰分局副局长          　　　</w:t>
      </w:r>
    </w:p>
    <w:p>
      <w:pPr>
        <w:keepNext w:val="0"/>
        <w:keepLines w:val="0"/>
        <w:pageBreakBefore w:val="0"/>
        <w:kinsoku/>
        <w:wordWrap/>
        <w:overflowPunct/>
        <w:topLinePunct w:val="0"/>
        <w:autoSpaceDE/>
        <w:autoSpaceDN/>
        <w:bidi w:val="0"/>
        <w:spacing w:beforeAutospacing="0" w:line="520" w:lineRule="exact"/>
        <w:ind w:firstLine="2560" w:firstLineChars="800"/>
        <w:textAlignment w:val="auto"/>
        <w:rPr>
          <w:rFonts w:eastAsia="仿宋_GB2312"/>
          <w:color w:val="auto"/>
          <w:sz w:val="32"/>
          <w:szCs w:val="32"/>
          <w:highlight w:val="none"/>
        </w:rPr>
      </w:pPr>
      <w:r>
        <w:rPr>
          <w:rFonts w:hint="eastAsia" w:eastAsia="仿宋_GB2312"/>
          <w:color w:val="auto"/>
          <w:sz w:val="32"/>
          <w:szCs w:val="32"/>
          <w:highlight w:val="none"/>
        </w:rPr>
        <w:t>黄轶涵  港华燃气公司总工</w:t>
      </w:r>
    </w:p>
    <w:p>
      <w:pPr>
        <w:keepNext w:val="0"/>
        <w:keepLines w:val="0"/>
        <w:pageBreakBefore w:val="0"/>
        <w:kinsoku/>
        <w:wordWrap/>
        <w:overflowPunct/>
        <w:topLinePunct w:val="0"/>
        <w:autoSpaceDE/>
        <w:autoSpaceDN/>
        <w:bidi w:val="0"/>
        <w:spacing w:beforeAutospacing="0" w:line="520" w:lineRule="exact"/>
        <w:ind w:firstLine="2560" w:firstLineChars="800"/>
        <w:textAlignment w:val="auto"/>
        <w:rPr>
          <w:rFonts w:eastAsia="仿宋_GB2312"/>
          <w:color w:val="auto"/>
          <w:sz w:val="32"/>
          <w:szCs w:val="32"/>
          <w:highlight w:val="none"/>
        </w:rPr>
      </w:pPr>
      <w:r>
        <w:rPr>
          <w:rFonts w:hint="eastAsia" w:eastAsia="仿宋_GB2312"/>
          <w:color w:val="auto"/>
          <w:sz w:val="32"/>
          <w:szCs w:val="32"/>
          <w:highlight w:val="none"/>
        </w:rPr>
        <w:t xml:space="preserve">陈军耀  锦丰供电所副所长     </w:t>
      </w:r>
    </w:p>
    <w:p>
      <w:pPr>
        <w:keepNext w:val="0"/>
        <w:keepLines w:val="0"/>
        <w:pageBreakBefore w:val="0"/>
        <w:kinsoku/>
        <w:wordWrap/>
        <w:overflowPunct/>
        <w:topLinePunct w:val="0"/>
        <w:autoSpaceDE/>
        <w:autoSpaceDN/>
        <w:bidi w:val="0"/>
        <w:spacing w:beforeAutospacing="0" w:line="520" w:lineRule="exact"/>
        <w:ind w:firstLine="2560" w:firstLineChars="800"/>
        <w:textAlignment w:val="auto"/>
        <w:rPr>
          <w:rFonts w:eastAsia="仿宋_GB2312"/>
          <w:color w:val="auto"/>
          <w:sz w:val="32"/>
          <w:szCs w:val="32"/>
          <w:highlight w:val="none"/>
        </w:rPr>
      </w:pPr>
      <w:r>
        <w:rPr>
          <w:rFonts w:hint="eastAsia" w:eastAsia="仿宋_GB2312"/>
          <w:color w:val="auto"/>
          <w:sz w:val="32"/>
          <w:szCs w:val="32"/>
          <w:highlight w:val="none"/>
        </w:rPr>
        <w:t xml:space="preserve">黄  凯 </w:t>
      </w:r>
      <w:r>
        <w:rPr>
          <w:rFonts w:eastAsia="仿宋_GB2312"/>
          <w:color w:val="auto"/>
          <w:sz w:val="32"/>
          <w:szCs w:val="32"/>
          <w:highlight w:val="none"/>
        </w:rPr>
        <w:t xml:space="preserve"> </w:t>
      </w:r>
      <w:r>
        <w:rPr>
          <w:rFonts w:hint="eastAsia" w:eastAsia="仿宋_GB2312"/>
          <w:color w:val="auto"/>
          <w:sz w:val="32"/>
          <w:szCs w:val="32"/>
          <w:highlight w:val="none"/>
        </w:rPr>
        <w:t>洁能燃气公司售后主管</w:t>
      </w:r>
    </w:p>
    <w:p>
      <w:pPr>
        <w:keepNext w:val="0"/>
        <w:keepLines w:val="0"/>
        <w:pageBreakBefore w:val="0"/>
        <w:kinsoku/>
        <w:wordWrap/>
        <w:overflowPunct/>
        <w:topLinePunct w:val="0"/>
        <w:autoSpaceDE/>
        <w:autoSpaceDN/>
        <w:bidi w:val="0"/>
        <w:spacing w:beforeAutospacing="0" w:line="520" w:lineRule="exact"/>
        <w:ind w:firstLine="2560" w:firstLineChars="800"/>
        <w:textAlignment w:val="auto"/>
        <w:rPr>
          <w:color w:val="auto"/>
          <w:highlight w:val="none"/>
        </w:rPr>
      </w:pPr>
      <w:r>
        <w:rPr>
          <w:rFonts w:eastAsia="仿宋_GB2312"/>
          <w:color w:val="auto"/>
          <w:sz w:val="32"/>
          <w:szCs w:val="32"/>
          <w:highlight w:val="none"/>
        </w:rPr>
        <w:t>各村</w:t>
      </w:r>
      <w:r>
        <w:rPr>
          <w:rFonts w:hint="eastAsia" w:eastAsia="仿宋_GB2312"/>
          <w:color w:val="auto"/>
          <w:sz w:val="32"/>
          <w:szCs w:val="32"/>
          <w:highlight w:val="none"/>
        </w:rPr>
        <w:t>（社区）书记</w:t>
      </w:r>
    </w:p>
    <w:p>
      <w:pPr>
        <w:keepNext w:val="0"/>
        <w:keepLines w:val="0"/>
        <w:pageBreakBefore w:val="0"/>
        <w:kinsoku/>
        <w:wordWrap/>
        <w:overflowPunct/>
        <w:topLinePunct w:val="0"/>
        <w:autoSpaceDE/>
        <w:autoSpaceDN/>
        <w:bidi w:val="0"/>
        <w:adjustRightInd w:val="0"/>
        <w:snapToGrid w:val="0"/>
        <w:spacing w:beforeAutospacing="0" w:line="520" w:lineRule="exact"/>
        <w:ind w:firstLine="640" w:firstLineChars="200"/>
        <w:jc w:val="left"/>
        <w:textAlignment w:val="auto"/>
        <w:rPr>
          <w:rFonts w:eastAsia="仿宋_GB2312"/>
          <w:sz w:val="32"/>
          <w:szCs w:val="32"/>
        </w:rPr>
      </w:pPr>
      <w:r>
        <w:rPr>
          <w:rFonts w:hint="eastAsia" w:eastAsia="仿宋_GB2312"/>
          <w:sz w:val="32"/>
          <w:szCs w:val="32"/>
        </w:rPr>
        <w:t>工作专班下设办公室，办公室设在园规划建设局，许晓明同志兼任办公室主任，王振、陈银洲同志兼任办公室副主任，具体负责餐饮经营场所“瓶改管、瓶改电”对上联络争取和改造相关事宜的协调处理。各成员单位如遇人员变动，主动向工作专班报备调整，不再另行发文。</w:t>
      </w:r>
    </w:p>
    <w:p>
      <w:pPr>
        <w:pStyle w:val="18"/>
        <w:keepNext w:val="0"/>
        <w:keepLines w:val="0"/>
        <w:pageBreakBefore w:val="0"/>
        <w:kinsoku/>
        <w:wordWrap/>
        <w:overflowPunct/>
        <w:topLinePunct w:val="0"/>
        <w:autoSpaceDE/>
        <w:autoSpaceDN/>
        <w:bidi w:val="0"/>
        <w:spacing w:before="0" w:beforeAutospacing="0" w:line="520" w:lineRule="exact"/>
        <w:ind w:firstLine="0" w:firstLineChars="0"/>
        <w:textAlignment w:val="auto"/>
        <w:rPr>
          <w:sz w:val="32"/>
          <w:szCs w:val="32"/>
        </w:rPr>
      </w:pPr>
    </w:p>
    <w:p>
      <w:pPr>
        <w:pStyle w:val="17"/>
        <w:ind w:firstLine="640"/>
        <w:rPr>
          <w:rFonts w:hint="default" w:eastAsia="仿宋_GB2312"/>
        </w:rPr>
      </w:pPr>
    </w:p>
    <w:p>
      <w:pPr>
        <w:pStyle w:val="17"/>
        <w:ind w:firstLine="640"/>
        <w:rPr>
          <w:rFonts w:hint="default" w:eastAsia="仿宋_GB2312"/>
        </w:rPr>
      </w:pPr>
    </w:p>
    <w:p>
      <w:pPr>
        <w:adjustRightInd w:val="0"/>
        <w:snapToGrid w:val="0"/>
        <w:spacing w:line="560" w:lineRule="exact"/>
        <w:jc w:val="left"/>
        <w:rPr>
          <w:rFonts w:eastAsia="黑体"/>
          <w:sz w:val="32"/>
          <w:szCs w:val="32"/>
        </w:rPr>
      </w:pPr>
    </w:p>
    <w:p>
      <w:pPr>
        <w:pStyle w:val="18"/>
      </w:pPr>
    </w:p>
    <w:p>
      <w:pPr>
        <w:adjustRightInd w:val="0"/>
        <w:snapToGrid w:val="0"/>
        <w:spacing w:line="560" w:lineRule="exact"/>
        <w:jc w:val="left"/>
        <w:rPr>
          <w:rFonts w:eastAsia="黑体"/>
          <w:sz w:val="32"/>
          <w:szCs w:val="32"/>
        </w:rPr>
      </w:pPr>
      <w:r>
        <w:rPr>
          <w:rFonts w:eastAsia="黑体"/>
          <w:sz w:val="32"/>
          <w:szCs w:val="32"/>
        </w:rPr>
        <w:t>附件</w:t>
      </w:r>
      <w:r>
        <w:rPr>
          <w:rFonts w:hint="eastAsia" w:eastAsia="黑体"/>
          <w:sz w:val="32"/>
          <w:szCs w:val="32"/>
        </w:rPr>
        <w:t>2</w:t>
      </w:r>
    </w:p>
    <w:p>
      <w:pPr>
        <w:adjustRightInd w:val="0"/>
        <w:snapToGrid w:val="0"/>
        <w:spacing w:line="560" w:lineRule="exact"/>
        <w:jc w:val="center"/>
        <w:rPr>
          <w:rFonts w:eastAsia="方正小标宋简体"/>
          <w:sz w:val="40"/>
          <w:szCs w:val="44"/>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0"/>
          <w:szCs w:val="44"/>
        </w:rPr>
        <w:t>管道天然气商业配套安装基本要求</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eastAsia="仿宋_GB231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eastAsia="仿宋_GB2312"/>
          <w:kern w:val="0"/>
          <w:sz w:val="32"/>
          <w:szCs w:val="32"/>
        </w:rPr>
      </w:pPr>
      <w:r>
        <w:rPr>
          <w:rFonts w:eastAsia="仿宋_GB2312"/>
          <w:kern w:val="0"/>
          <w:sz w:val="32"/>
          <w:szCs w:val="32"/>
        </w:rPr>
        <w:t>1</w:t>
      </w:r>
      <w:r>
        <w:rPr>
          <w:rFonts w:hint="eastAsia" w:eastAsia="仿宋_GB2312"/>
          <w:kern w:val="0"/>
          <w:sz w:val="32"/>
          <w:szCs w:val="32"/>
        </w:rPr>
        <w:t>.</w:t>
      </w:r>
      <w:r>
        <w:rPr>
          <w:rFonts w:eastAsia="仿宋_GB2312"/>
          <w:kern w:val="0"/>
          <w:sz w:val="32"/>
          <w:szCs w:val="32"/>
        </w:rPr>
        <w:t>厨房内应有直接通向室外的窗户，且窗户的面积大于或等于厨房面积的1/10且不得小于0.6平方米，厨房内净高不得小于2.5米。如只有民用灶具厨房内净高不得小于2.2米。</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eastAsia="仿宋_GB2312"/>
          <w:kern w:val="0"/>
          <w:sz w:val="32"/>
          <w:szCs w:val="32"/>
        </w:rPr>
      </w:pPr>
      <w:r>
        <w:rPr>
          <w:rFonts w:eastAsia="仿宋_GB2312"/>
          <w:kern w:val="0"/>
          <w:sz w:val="32"/>
          <w:szCs w:val="32"/>
        </w:rPr>
        <w:t>2</w:t>
      </w:r>
      <w:r>
        <w:rPr>
          <w:rFonts w:hint="eastAsia" w:eastAsia="仿宋_GB2312"/>
          <w:kern w:val="0"/>
          <w:sz w:val="32"/>
          <w:szCs w:val="32"/>
        </w:rPr>
        <w:t>.</w:t>
      </w:r>
      <w:r>
        <w:rPr>
          <w:rFonts w:eastAsia="仿宋_GB2312"/>
          <w:kern w:val="0"/>
          <w:sz w:val="32"/>
          <w:szCs w:val="32"/>
        </w:rPr>
        <w:t>厨房不得设置在地下室和半地下室；当厨房室内地坪标高低于室外地坪标高的距离达到或超过厨房室内层高的1/3时，则厨房视为半地下室的范畴。</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eastAsia="仿宋_GB2312"/>
          <w:kern w:val="0"/>
          <w:sz w:val="32"/>
          <w:szCs w:val="32"/>
        </w:rPr>
      </w:pPr>
      <w:r>
        <w:rPr>
          <w:rFonts w:eastAsia="仿宋_GB2312"/>
          <w:kern w:val="0"/>
          <w:sz w:val="32"/>
          <w:szCs w:val="32"/>
        </w:rPr>
        <w:t>3</w:t>
      </w:r>
      <w:r>
        <w:rPr>
          <w:rFonts w:hint="eastAsia" w:eastAsia="仿宋_GB2312"/>
          <w:kern w:val="0"/>
          <w:sz w:val="32"/>
          <w:szCs w:val="32"/>
        </w:rPr>
        <w:t>.</w:t>
      </w:r>
      <w:r>
        <w:rPr>
          <w:rFonts w:eastAsia="仿宋_GB2312"/>
          <w:kern w:val="0"/>
          <w:sz w:val="32"/>
          <w:szCs w:val="32"/>
        </w:rPr>
        <w:t>燃气表安装墙面应当为坚固的实体墙，安装位置充裕，与室外其他管线及设备有足够的安全间距。</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eastAsia="仿宋_GB2312"/>
          <w:kern w:val="0"/>
          <w:sz w:val="32"/>
          <w:szCs w:val="32"/>
        </w:rPr>
      </w:pPr>
      <w:r>
        <w:rPr>
          <w:rFonts w:eastAsia="仿宋_GB2312"/>
          <w:kern w:val="0"/>
          <w:sz w:val="32"/>
          <w:szCs w:val="32"/>
        </w:rPr>
        <w:t>4</w:t>
      </w:r>
      <w:r>
        <w:rPr>
          <w:rFonts w:hint="eastAsia" w:eastAsia="仿宋_GB2312"/>
          <w:kern w:val="0"/>
          <w:sz w:val="32"/>
          <w:szCs w:val="32"/>
        </w:rPr>
        <w:t>.</w:t>
      </w:r>
      <w:r>
        <w:rPr>
          <w:rFonts w:eastAsia="仿宋_GB2312"/>
          <w:kern w:val="0"/>
          <w:sz w:val="32"/>
          <w:szCs w:val="32"/>
        </w:rPr>
        <w:t>商业燃具或用气设备应自正规生产单位采购，产品铭牌上应注明燃气类别（12T）、额定热负荷、额定压力等信息，相关设备符合《燃气燃烧器具安全技术条件》GB16914技术要求，其中商业燃具应设置熄火保护装置。</w:t>
      </w:r>
    </w:p>
    <w:p>
      <w:pPr>
        <w:keepNext w:val="0"/>
        <w:keepLines w:val="0"/>
        <w:pageBreakBefore w:val="0"/>
        <w:widowControl w:val="0"/>
        <w:kinsoku/>
        <w:wordWrap/>
        <w:overflowPunct/>
        <w:topLinePunct w:val="0"/>
        <w:autoSpaceDE/>
        <w:autoSpaceDN/>
        <w:bidi w:val="0"/>
        <w:spacing w:line="520" w:lineRule="exact"/>
        <w:ind w:firstLine="560" w:firstLineChars="200"/>
        <w:jc w:val="center"/>
        <w:textAlignment w:val="auto"/>
        <w:rPr>
          <w:rFonts w:eastAsia="方正小标宋简体"/>
          <w:kern w:val="0"/>
          <w:sz w:val="28"/>
          <w:szCs w:val="28"/>
        </w:rPr>
      </w:pPr>
    </w:p>
    <w:p>
      <w:pPr>
        <w:spacing w:line="560" w:lineRule="exact"/>
        <w:ind w:firstLine="560" w:firstLineChars="200"/>
        <w:jc w:val="center"/>
        <w:rPr>
          <w:rFonts w:eastAsia="方正小标宋简体"/>
          <w:kern w:val="0"/>
          <w:sz w:val="28"/>
          <w:szCs w:val="28"/>
        </w:rPr>
      </w:pPr>
    </w:p>
    <w:p>
      <w:pPr>
        <w:spacing w:line="560" w:lineRule="exact"/>
        <w:ind w:firstLine="560" w:firstLineChars="200"/>
        <w:jc w:val="center"/>
        <w:rPr>
          <w:rFonts w:eastAsia="方正小标宋简体"/>
          <w:kern w:val="0"/>
          <w:sz w:val="28"/>
          <w:szCs w:val="28"/>
        </w:rPr>
      </w:pPr>
    </w:p>
    <w:p>
      <w:pPr>
        <w:pStyle w:val="18"/>
      </w:pPr>
    </w:p>
    <w:p>
      <w:pPr>
        <w:spacing w:line="560" w:lineRule="exact"/>
        <w:ind w:firstLine="560" w:firstLineChars="200"/>
        <w:jc w:val="center"/>
        <w:rPr>
          <w:rFonts w:eastAsia="方正小标宋简体"/>
          <w:kern w:val="0"/>
          <w:sz w:val="28"/>
          <w:szCs w:val="28"/>
        </w:rPr>
      </w:pPr>
    </w:p>
    <w:p>
      <w:pPr>
        <w:spacing w:line="560" w:lineRule="exact"/>
        <w:ind w:firstLine="560" w:firstLineChars="200"/>
        <w:jc w:val="center"/>
        <w:rPr>
          <w:rFonts w:eastAsia="方正小标宋简体"/>
          <w:kern w:val="0"/>
          <w:sz w:val="28"/>
          <w:szCs w:val="28"/>
        </w:rPr>
      </w:pPr>
    </w:p>
    <w:p>
      <w:pPr>
        <w:pStyle w:val="18"/>
      </w:pPr>
    </w:p>
    <w:p>
      <w:pPr>
        <w:spacing w:line="560" w:lineRule="exact"/>
        <w:ind w:firstLine="560" w:firstLineChars="200"/>
        <w:jc w:val="center"/>
        <w:rPr>
          <w:rFonts w:eastAsia="方正小标宋简体"/>
          <w:kern w:val="0"/>
          <w:sz w:val="28"/>
          <w:szCs w:val="28"/>
        </w:rPr>
      </w:pPr>
    </w:p>
    <w:p>
      <w:pPr>
        <w:spacing w:after="319" w:afterLines="100" w:line="560" w:lineRule="exact"/>
        <w:jc w:val="center"/>
        <w:rPr>
          <w:rFonts w:ascii="黑体" w:hAnsi="黑体" w:eastAsia="黑体" w:cs="黑体"/>
          <w:kern w:val="0"/>
          <w:sz w:val="36"/>
          <w:szCs w:val="36"/>
        </w:rPr>
      </w:pPr>
      <w:r>
        <w:rPr>
          <w:rFonts w:hint="eastAsia" w:ascii="黑体" w:hAnsi="黑体" w:eastAsia="黑体" w:cs="黑体"/>
          <w:kern w:val="0"/>
          <w:sz w:val="36"/>
          <w:szCs w:val="36"/>
        </w:rPr>
        <w:t>燃气表与电气设施之间最小水平净距（cm）</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3"/>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783" w:type="dxa"/>
            <w:shd w:val="clear" w:color="auto" w:fill="auto"/>
            <w:vAlign w:val="center"/>
          </w:tcPr>
          <w:p>
            <w:pPr>
              <w:spacing w:line="560" w:lineRule="exact"/>
              <w:jc w:val="center"/>
              <w:rPr>
                <w:rFonts w:eastAsia="黑体"/>
                <w:bCs/>
                <w:kern w:val="0"/>
                <w:sz w:val="28"/>
                <w:szCs w:val="28"/>
              </w:rPr>
            </w:pPr>
            <w:r>
              <w:rPr>
                <w:rFonts w:hint="eastAsia" w:eastAsia="黑体"/>
                <w:bCs/>
                <w:kern w:val="0"/>
                <w:sz w:val="28"/>
                <w:szCs w:val="28"/>
              </w:rPr>
              <w:t>名  称</w:t>
            </w:r>
          </w:p>
        </w:tc>
        <w:tc>
          <w:tcPr>
            <w:tcW w:w="2547" w:type="dxa"/>
            <w:shd w:val="clear" w:color="auto" w:fill="auto"/>
            <w:vAlign w:val="center"/>
          </w:tcPr>
          <w:p>
            <w:pPr>
              <w:adjustRightInd w:val="0"/>
              <w:snapToGrid w:val="0"/>
              <w:spacing w:line="360" w:lineRule="exact"/>
              <w:jc w:val="center"/>
              <w:rPr>
                <w:rFonts w:eastAsia="黑体"/>
                <w:bCs/>
                <w:kern w:val="0"/>
                <w:sz w:val="28"/>
                <w:szCs w:val="28"/>
              </w:rPr>
            </w:pPr>
            <w:r>
              <w:rPr>
                <w:rFonts w:hint="eastAsia" w:eastAsia="黑体"/>
                <w:bCs/>
                <w:kern w:val="0"/>
                <w:sz w:val="28"/>
                <w:szCs w:val="28"/>
              </w:rPr>
              <w:t>与燃气表</w:t>
            </w:r>
          </w:p>
          <w:p>
            <w:pPr>
              <w:adjustRightInd w:val="0"/>
              <w:snapToGrid w:val="0"/>
              <w:spacing w:line="360" w:lineRule="exact"/>
              <w:jc w:val="center"/>
              <w:rPr>
                <w:rFonts w:eastAsia="黑体"/>
                <w:bCs/>
                <w:kern w:val="0"/>
                <w:sz w:val="28"/>
                <w:szCs w:val="28"/>
              </w:rPr>
            </w:pPr>
            <w:r>
              <w:rPr>
                <w:rFonts w:hint="eastAsia" w:eastAsia="黑体"/>
                <w:bCs/>
                <w:kern w:val="0"/>
                <w:sz w:val="28"/>
                <w:szCs w:val="28"/>
              </w:rPr>
              <w:t>最小水平</w:t>
            </w:r>
            <w:r>
              <w:rPr>
                <w:rFonts w:hint="eastAsia" w:eastAsia="黑体" w:cs="宋体"/>
                <w:bCs/>
                <w:kern w:val="0"/>
                <w:sz w:val="28"/>
                <w:szCs w:val="28"/>
              </w:rPr>
              <w:t>净距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83" w:type="dxa"/>
            <w:shd w:val="clear" w:color="auto" w:fill="auto"/>
            <w:vAlign w:val="center"/>
          </w:tcPr>
          <w:p>
            <w:pPr>
              <w:spacing w:line="400" w:lineRule="exact"/>
              <w:jc w:val="center"/>
              <w:rPr>
                <w:rFonts w:eastAsia="仿宋_GB2312"/>
                <w:bCs/>
                <w:kern w:val="0"/>
                <w:sz w:val="28"/>
                <w:szCs w:val="28"/>
              </w:rPr>
            </w:pPr>
            <w:r>
              <w:rPr>
                <w:rFonts w:hint="eastAsia" w:eastAsia="仿宋_GB2312"/>
                <w:bCs/>
                <w:kern w:val="0"/>
                <w:sz w:val="28"/>
                <w:szCs w:val="28"/>
              </w:rPr>
              <w:t>电压小于</w:t>
            </w:r>
            <w:r>
              <w:rPr>
                <w:rFonts w:eastAsia="仿宋_GB2312"/>
                <w:bCs/>
                <w:kern w:val="0"/>
                <w:sz w:val="28"/>
                <w:szCs w:val="28"/>
              </w:rPr>
              <w:t>1000V</w:t>
            </w:r>
            <w:r>
              <w:rPr>
                <w:rFonts w:hint="eastAsia" w:eastAsia="仿宋_GB2312"/>
                <w:bCs/>
                <w:kern w:val="0"/>
                <w:sz w:val="28"/>
                <w:szCs w:val="28"/>
              </w:rPr>
              <w:t>的裸露电线</w:t>
            </w:r>
          </w:p>
        </w:tc>
        <w:tc>
          <w:tcPr>
            <w:tcW w:w="2547" w:type="dxa"/>
            <w:shd w:val="clear" w:color="auto" w:fill="auto"/>
            <w:vAlign w:val="center"/>
          </w:tcPr>
          <w:p>
            <w:pPr>
              <w:spacing w:line="400" w:lineRule="exact"/>
              <w:jc w:val="center"/>
              <w:rPr>
                <w:rFonts w:eastAsia="仿宋_GB2312"/>
                <w:bCs/>
                <w:kern w:val="0"/>
                <w:sz w:val="28"/>
                <w:szCs w:val="28"/>
              </w:rPr>
            </w:pPr>
            <w:r>
              <w:rPr>
                <w:rFonts w:eastAsia="仿宋_GB2312"/>
                <w:bCs/>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83" w:type="dxa"/>
            <w:shd w:val="clear" w:color="auto" w:fill="auto"/>
            <w:vAlign w:val="center"/>
          </w:tcPr>
          <w:p>
            <w:pPr>
              <w:spacing w:line="400" w:lineRule="exact"/>
              <w:jc w:val="center"/>
              <w:rPr>
                <w:rFonts w:eastAsia="仿宋_GB2312"/>
                <w:bCs/>
                <w:kern w:val="0"/>
                <w:sz w:val="28"/>
                <w:szCs w:val="28"/>
              </w:rPr>
            </w:pPr>
            <w:r>
              <w:rPr>
                <w:rFonts w:hint="eastAsia" w:eastAsia="仿宋_GB2312"/>
                <w:bCs/>
                <w:kern w:val="0"/>
                <w:sz w:val="28"/>
                <w:szCs w:val="28"/>
              </w:rPr>
              <w:t>配电盘、配电箱或电表</w:t>
            </w:r>
          </w:p>
        </w:tc>
        <w:tc>
          <w:tcPr>
            <w:tcW w:w="2547" w:type="dxa"/>
            <w:shd w:val="clear" w:color="auto" w:fill="auto"/>
            <w:vAlign w:val="center"/>
          </w:tcPr>
          <w:p>
            <w:pPr>
              <w:spacing w:line="400" w:lineRule="exact"/>
              <w:jc w:val="center"/>
              <w:rPr>
                <w:rFonts w:eastAsia="仿宋_GB2312"/>
                <w:bCs/>
                <w:kern w:val="0"/>
                <w:sz w:val="28"/>
                <w:szCs w:val="28"/>
              </w:rPr>
            </w:pPr>
            <w:r>
              <w:rPr>
                <w:rFonts w:eastAsia="仿宋_GB2312"/>
                <w:bCs/>
                <w:kern w:val="0"/>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jc w:val="center"/>
        </w:trPr>
        <w:tc>
          <w:tcPr>
            <w:tcW w:w="5783" w:type="dxa"/>
            <w:shd w:val="clear" w:color="auto" w:fill="auto"/>
            <w:vAlign w:val="center"/>
          </w:tcPr>
          <w:p>
            <w:pPr>
              <w:spacing w:line="400" w:lineRule="exact"/>
              <w:jc w:val="center"/>
              <w:rPr>
                <w:rFonts w:eastAsia="仿宋_GB2312"/>
                <w:bCs/>
                <w:kern w:val="0"/>
                <w:sz w:val="28"/>
                <w:szCs w:val="28"/>
              </w:rPr>
            </w:pPr>
            <w:r>
              <w:rPr>
                <w:rFonts w:hint="eastAsia" w:eastAsia="仿宋_GB2312"/>
                <w:bCs/>
                <w:kern w:val="0"/>
                <w:sz w:val="28"/>
                <w:szCs w:val="28"/>
              </w:rPr>
              <w:t>电源插座、电源开关</w:t>
            </w:r>
          </w:p>
        </w:tc>
        <w:tc>
          <w:tcPr>
            <w:tcW w:w="2547" w:type="dxa"/>
            <w:shd w:val="clear" w:color="auto" w:fill="auto"/>
            <w:vAlign w:val="center"/>
          </w:tcPr>
          <w:p>
            <w:pPr>
              <w:spacing w:line="400" w:lineRule="exact"/>
              <w:jc w:val="center"/>
              <w:rPr>
                <w:rFonts w:eastAsia="仿宋_GB2312"/>
                <w:bCs/>
                <w:kern w:val="0"/>
                <w:sz w:val="28"/>
                <w:szCs w:val="28"/>
              </w:rPr>
            </w:pPr>
            <w:r>
              <w:rPr>
                <w:rFonts w:eastAsia="仿宋_GB2312"/>
                <w:bCs/>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83" w:type="dxa"/>
            <w:shd w:val="clear" w:color="auto" w:fill="auto"/>
            <w:vAlign w:val="center"/>
          </w:tcPr>
          <w:p>
            <w:pPr>
              <w:spacing w:line="400" w:lineRule="exact"/>
              <w:jc w:val="center"/>
              <w:rPr>
                <w:rFonts w:eastAsia="仿宋_GB2312"/>
                <w:bCs/>
                <w:kern w:val="0"/>
                <w:sz w:val="28"/>
                <w:szCs w:val="28"/>
              </w:rPr>
            </w:pPr>
            <w:r>
              <w:rPr>
                <w:rFonts w:hint="eastAsia" w:eastAsia="仿宋_GB2312"/>
                <w:bCs/>
                <w:kern w:val="0"/>
                <w:sz w:val="28"/>
                <w:szCs w:val="28"/>
              </w:rPr>
              <w:t>金属烟囱</w:t>
            </w:r>
          </w:p>
        </w:tc>
        <w:tc>
          <w:tcPr>
            <w:tcW w:w="2547" w:type="dxa"/>
            <w:shd w:val="clear" w:color="auto" w:fill="auto"/>
            <w:vAlign w:val="center"/>
          </w:tcPr>
          <w:p>
            <w:pPr>
              <w:spacing w:line="400" w:lineRule="exact"/>
              <w:jc w:val="center"/>
              <w:rPr>
                <w:rFonts w:eastAsia="仿宋_GB2312"/>
                <w:bCs/>
                <w:kern w:val="0"/>
                <w:sz w:val="28"/>
                <w:szCs w:val="28"/>
              </w:rPr>
            </w:pPr>
            <w:r>
              <w:rPr>
                <w:rFonts w:eastAsia="仿宋_GB2312"/>
                <w:bCs/>
                <w:kern w:val="0"/>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83" w:type="dxa"/>
            <w:shd w:val="clear" w:color="auto" w:fill="auto"/>
            <w:vAlign w:val="center"/>
          </w:tcPr>
          <w:p>
            <w:pPr>
              <w:spacing w:line="400" w:lineRule="exact"/>
              <w:jc w:val="center"/>
              <w:rPr>
                <w:rFonts w:eastAsia="仿宋_GB2312"/>
                <w:bCs/>
                <w:kern w:val="0"/>
                <w:sz w:val="28"/>
                <w:szCs w:val="28"/>
              </w:rPr>
            </w:pPr>
            <w:r>
              <w:rPr>
                <w:rFonts w:hint="eastAsia" w:eastAsia="仿宋_GB2312"/>
                <w:bCs/>
                <w:kern w:val="0"/>
                <w:sz w:val="28"/>
                <w:szCs w:val="28"/>
              </w:rPr>
              <w:t>砖砌烟囱</w:t>
            </w:r>
          </w:p>
        </w:tc>
        <w:tc>
          <w:tcPr>
            <w:tcW w:w="2547" w:type="dxa"/>
            <w:shd w:val="clear" w:color="auto" w:fill="auto"/>
            <w:vAlign w:val="center"/>
          </w:tcPr>
          <w:p>
            <w:pPr>
              <w:spacing w:line="400" w:lineRule="exact"/>
              <w:jc w:val="center"/>
              <w:rPr>
                <w:rFonts w:eastAsia="仿宋_GB2312"/>
                <w:bCs/>
                <w:kern w:val="0"/>
                <w:sz w:val="28"/>
                <w:szCs w:val="28"/>
              </w:rPr>
            </w:pPr>
            <w:r>
              <w:rPr>
                <w:rFonts w:eastAsia="仿宋_GB2312"/>
                <w:bCs/>
                <w:kern w:val="0"/>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5783" w:type="dxa"/>
            <w:shd w:val="clear" w:color="auto" w:fill="auto"/>
            <w:vAlign w:val="center"/>
          </w:tcPr>
          <w:p>
            <w:pPr>
              <w:spacing w:line="400" w:lineRule="exact"/>
              <w:jc w:val="center"/>
              <w:rPr>
                <w:rFonts w:eastAsia="仿宋_GB2312"/>
                <w:bCs/>
                <w:kern w:val="0"/>
                <w:sz w:val="28"/>
                <w:szCs w:val="28"/>
              </w:rPr>
            </w:pPr>
            <w:r>
              <w:rPr>
                <w:rFonts w:hint="eastAsia" w:eastAsia="仿宋_GB2312"/>
                <w:bCs/>
                <w:kern w:val="0"/>
                <w:sz w:val="28"/>
                <w:szCs w:val="28"/>
              </w:rPr>
              <w:t>炒菜灶、大锅灶、蒸箱和烤炉等燃气灶具灶边</w:t>
            </w:r>
          </w:p>
        </w:tc>
        <w:tc>
          <w:tcPr>
            <w:tcW w:w="2547" w:type="dxa"/>
            <w:shd w:val="clear" w:color="auto" w:fill="auto"/>
            <w:vAlign w:val="center"/>
          </w:tcPr>
          <w:p>
            <w:pPr>
              <w:spacing w:line="400" w:lineRule="exact"/>
              <w:jc w:val="center"/>
              <w:rPr>
                <w:rFonts w:eastAsia="仿宋_GB2312"/>
                <w:bCs/>
                <w:kern w:val="0"/>
                <w:sz w:val="28"/>
                <w:szCs w:val="28"/>
              </w:rPr>
            </w:pPr>
            <w:r>
              <w:rPr>
                <w:rFonts w:eastAsia="仿宋_GB2312"/>
                <w:bCs/>
                <w:kern w:val="0"/>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5783" w:type="dxa"/>
            <w:shd w:val="clear" w:color="auto" w:fill="auto"/>
            <w:vAlign w:val="center"/>
          </w:tcPr>
          <w:p>
            <w:pPr>
              <w:spacing w:line="400" w:lineRule="exact"/>
              <w:jc w:val="center"/>
              <w:rPr>
                <w:rFonts w:eastAsia="仿宋_GB2312"/>
                <w:bCs/>
                <w:kern w:val="0"/>
                <w:sz w:val="28"/>
                <w:szCs w:val="28"/>
              </w:rPr>
            </w:pPr>
            <w:r>
              <w:rPr>
                <w:rFonts w:hint="eastAsia" w:eastAsia="仿宋_GB2312"/>
                <w:bCs/>
                <w:kern w:val="0"/>
                <w:sz w:val="28"/>
                <w:szCs w:val="28"/>
              </w:rPr>
              <w:t>沸水器及热水锅炉</w:t>
            </w:r>
          </w:p>
        </w:tc>
        <w:tc>
          <w:tcPr>
            <w:tcW w:w="2547" w:type="dxa"/>
            <w:shd w:val="clear" w:color="auto" w:fill="auto"/>
            <w:vAlign w:val="center"/>
          </w:tcPr>
          <w:p>
            <w:pPr>
              <w:spacing w:line="400" w:lineRule="exact"/>
              <w:jc w:val="center"/>
              <w:rPr>
                <w:rFonts w:eastAsia="仿宋_GB2312"/>
                <w:bCs/>
                <w:kern w:val="0"/>
                <w:sz w:val="28"/>
                <w:szCs w:val="28"/>
              </w:rPr>
            </w:pPr>
            <w:r>
              <w:rPr>
                <w:rFonts w:eastAsia="仿宋_GB2312"/>
                <w:bCs/>
                <w:kern w:val="0"/>
                <w:sz w:val="28"/>
                <w:szCs w:val="2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exact"/>
          <w:jc w:val="center"/>
        </w:trPr>
        <w:tc>
          <w:tcPr>
            <w:tcW w:w="8330" w:type="dxa"/>
            <w:gridSpan w:val="2"/>
            <w:shd w:val="clear" w:color="auto" w:fill="auto"/>
            <w:vAlign w:val="center"/>
          </w:tcPr>
          <w:p>
            <w:pPr>
              <w:adjustRightInd w:val="0"/>
              <w:snapToGrid w:val="0"/>
              <w:spacing w:line="400" w:lineRule="exact"/>
              <w:jc w:val="left"/>
              <w:rPr>
                <w:rFonts w:eastAsia="仿宋_GB2312"/>
                <w:bCs/>
                <w:kern w:val="0"/>
                <w:sz w:val="28"/>
                <w:szCs w:val="28"/>
              </w:rPr>
            </w:pPr>
            <w:r>
              <w:rPr>
                <w:rFonts w:hint="eastAsia" w:eastAsia="仿宋_GB2312"/>
                <w:bCs/>
                <w:kern w:val="0"/>
                <w:sz w:val="28"/>
                <w:szCs w:val="28"/>
              </w:rPr>
              <w:t>说明：当燃气表与燃具和设备的水平净距无法满足上述要求时，加隔热板后水平净距可适当缩小。</w:t>
            </w:r>
          </w:p>
        </w:tc>
      </w:tr>
    </w:tbl>
    <w:p>
      <w:pPr>
        <w:snapToGrid w:val="0"/>
        <w:spacing w:line="560" w:lineRule="exact"/>
        <w:rPr>
          <w:rFonts w:eastAsia="仿宋_GB2312"/>
          <w:sz w:val="28"/>
          <w:szCs w:val="28"/>
        </w:rPr>
        <w:sectPr>
          <w:headerReference r:id="rId3" w:type="default"/>
          <w:footerReference r:id="rId4" w:type="default"/>
          <w:footerReference r:id="rId5" w:type="even"/>
          <w:pgSz w:w="11906" w:h="16838"/>
          <w:pgMar w:top="1278" w:right="1474" w:bottom="1985" w:left="1588" w:header="851" w:footer="992" w:gutter="0"/>
          <w:cols w:space="720" w:num="1"/>
          <w:docGrid w:type="lines" w:linePitch="319" w:charSpace="0"/>
        </w:sectPr>
      </w:pPr>
      <w:r>
        <w:rPr>
          <w:rFonts w:hint="eastAsia" w:eastAsia="仿宋_GB2312"/>
          <w:sz w:val="28"/>
          <w:szCs w:val="28"/>
        </w:rPr>
        <w:t>备注：在符合上述基本要求的基础上，由管道燃气企业工作人员实地踏勘后确定能否配套。</w:t>
      </w:r>
    </w:p>
    <w:p>
      <w:pPr>
        <w:adjustRightInd w:val="0"/>
        <w:snapToGrid w:val="0"/>
        <w:spacing w:line="440" w:lineRule="exact"/>
        <w:jc w:val="left"/>
        <w:rPr>
          <w:rFonts w:eastAsia="黑体"/>
          <w:sz w:val="32"/>
          <w:szCs w:val="32"/>
        </w:rPr>
      </w:pPr>
      <w:r>
        <w:rPr>
          <w:rFonts w:hint="eastAsia" w:eastAsia="黑体"/>
          <w:sz w:val="32"/>
          <w:szCs w:val="32"/>
        </w:rPr>
        <w:t>附</w:t>
      </w:r>
      <w:r>
        <w:rPr>
          <w:rFonts w:eastAsia="黑体"/>
          <w:sz w:val="32"/>
          <w:szCs w:val="32"/>
        </w:rPr>
        <w:t>件</w:t>
      </w:r>
      <w:r>
        <w:rPr>
          <w:rFonts w:hint="eastAsia" w:eastAsia="黑体"/>
          <w:sz w:val="32"/>
          <w:szCs w:val="32"/>
        </w:rPr>
        <w:t>3</w:t>
      </w:r>
    </w:p>
    <w:p>
      <w:pPr>
        <w:pStyle w:val="18"/>
      </w:pPr>
    </w:p>
    <w:p>
      <w:pPr>
        <w:spacing w:line="56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rPr>
        <w:t>餐饮场所“瓶改管、瓶改电”</w:t>
      </w:r>
      <w:r>
        <w:rPr>
          <w:rFonts w:hint="eastAsia" w:ascii="方正小标宋简体" w:hAnsi="方正小标宋简体" w:eastAsia="方正小标宋简体" w:cs="方正小标宋简体"/>
          <w:sz w:val="32"/>
          <w:szCs w:val="32"/>
        </w:rPr>
        <w:t xml:space="preserve"> </w:t>
      </w:r>
    </w:p>
    <w:p>
      <w:pPr>
        <w:spacing w:line="560" w:lineRule="exact"/>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集中改造工作</w:t>
      </w:r>
      <w:r>
        <w:rPr>
          <w:rFonts w:hint="eastAsia" w:ascii="方正小标宋简体" w:hAnsi="方正小标宋简体" w:eastAsia="方正小标宋简体" w:cs="方正小标宋简体"/>
          <w:sz w:val="44"/>
          <w:szCs w:val="32"/>
        </w:rPr>
        <w:t>进度汇总</w:t>
      </w:r>
      <w:r>
        <w:rPr>
          <w:rFonts w:hint="eastAsia" w:ascii="方正小标宋简体" w:hAnsi="方正小标宋简体" w:eastAsia="方正小标宋简体" w:cs="方正小标宋简体"/>
          <w:sz w:val="44"/>
          <w:szCs w:val="44"/>
        </w:rPr>
        <w:t>表</w:t>
      </w:r>
    </w:p>
    <w:p>
      <w:pPr>
        <w:snapToGrid w:val="0"/>
        <w:spacing w:before="240" w:after="240" w:line="560" w:lineRule="exact"/>
        <w:ind w:right="-624" w:rightChars="-297"/>
        <w:rPr>
          <w:rFonts w:eastAsia="微软雅黑" w:cs="宋体"/>
          <w:bCs/>
          <w:kern w:val="0"/>
          <w:sz w:val="24"/>
          <w:u w:val="single"/>
        </w:rPr>
      </w:pPr>
      <w:r>
        <w:rPr>
          <w:rFonts w:hint="eastAsia" w:eastAsia="楷体_GB2312"/>
          <w:bCs/>
          <w:sz w:val="28"/>
        </w:rPr>
        <w:t>填报办事处（综合服务办）：</w:t>
      </w:r>
      <w:r>
        <w:rPr>
          <w:rFonts w:hint="eastAsia" w:eastAsia="仿宋_GB2312"/>
          <w:bCs/>
          <w:sz w:val="36"/>
          <w:u w:val="single"/>
        </w:rPr>
        <w:t xml:space="preserve">           </w:t>
      </w:r>
      <w:r>
        <w:rPr>
          <w:rFonts w:hint="eastAsia" w:eastAsia="仿宋_GB2312"/>
          <w:bCs/>
          <w:sz w:val="36"/>
        </w:rPr>
        <w:t xml:space="preserve">  </w:t>
      </w:r>
      <w:r>
        <w:rPr>
          <w:rFonts w:hint="eastAsia" w:eastAsia="楷体_GB2312"/>
          <w:bCs/>
          <w:sz w:val="28"/>
        </w:rPr>
        <w:t>填报日期：</w:t>
      </w:r>
      <w:r>
        <w:rPr>
          <w:rFonts w:hint="eastAsia" w:eastAsia="楷体_GB2312"/>
          <w:bCs/>
          <w:sz w:val="28"/>
          <w:u w:val="single"/>
        </w:rPr>
        <w:t xml:space="preserve">             </w:t>
      </w:r>
    </w:p>
    <w:tbl>
      <w:tblPr>
        <w:tblStyle w:val="19"/>
        <w:tblW w:w="10065" w:type="dxa"/>
        <w:tblInd w:w="-601" w:type="dxa"/>
        <w:tblLayout w:type="autofit"/>
        <w:tblCellMar>
          <w:top w:w="0" w:type="dxa"/>
          <w:left w:w="108" w:type="dxa"/>
          <w:bottom w:w="0" w:type="dxa"/>
          <w:right w:w="108" w:type="dxa"/>
        </w:tblCellMar>
      </w:tblPr>
      <w:tblGrid>
        <w:gridCol w:w="1677"/>
        <w:gridCol w:w="1678"/>
        <w:gridCol w:w="1677"/>
        <w:gridCol w:w="1678"/>
        <w:gridCol w:w="1677"/>
        <w:gridCol w:w="1678"/>
      </w:tblGrid>
      <w:tr>
        <w:tblPrEx>
          <w:tblCellMar>
            <w:top w:w="0" w:type="dxa"/>
            <w:left w:w="108" w:type="dxa"/>
            <w:bottom w:w="0" w:type="dxa"/>
            <w:right w:w="108" w:type="dxa"/>
          </w:tblCellMar>
        </w:tblPrEx>
        <w:trPr>
          <w:trHeight w:val="465" w:hRule="atLeast"/>
        </w:trPr>
        <w:tc>
          <w:tcPr>
            <w:tcW w:w="10065" w:type="dxa"/>
            <w:gridSpan w:val="6"/>
            <w:tcBorders>
              <w:top w:val="single" w:color="auto" w:sz="8" w:space="0"/>
              <w:left w:val="single" w:color="auto" w:sz="8" w:space="0"/>
              <w:bottom w:val="single" w:color="auto" w:sz="8" w:space="0"/>
              <w:right w:val="single" w:color="auto" w:sz="8" w:space="0"/>
            </w:tcBorders>
            <w:noWrap/>
            <w:vAlign w:val="center"/>
          </w:tcPr>
          <w:p>
            <w:pPr>
              <w:spacing w:line="560" w:lineRule="exact"/>
              <w:jc w:val="center"/>
              <w:rPr>
                <w:rFonts w:eastAsia="仿宋_GB2312" w:cs="宋体"/>
                <w:kern w:val="0"/>
                <w:sz w:val="32"/>
                <w:szCs w:val="32"/>
              </w:rPr>
            </w:pPr>
            <w:r>
              <w:rPr>
                <w:rFonts w:hint="eastAsia" w:eastAsia="仿宋_GB2312" w:cs="宋体"/>
                <w:kern w:val="0"/>
                <w:sz w:val="32"/>
                <w:szCs w:val="32"/>
              </w:rPr>
              <w:t>餐饮场所“瓶改管”汇总</w:t>
            </w:r>
          </w:p>
        </w:tc>
      </w:tr>
      <w:tr>
        <w:tblPrEx>
          <w:tblCellMar>
            <w:top w:w="0" w:type="dxa"/>
            <w:left w:w="108" w:type="dxa"/>
            <w:bottom w:w="0" w:type="dxa"/>
            <w:right w:w="108" w:type="dxa"/>
          </w:tblCellMar>
        </w:tblPrEx>
        <w:trPr>
          <w:trHeight w:val="624" w:hRule="atLeast"/>
        </w:trPr>
        <w:tc>
          <w:tcPr>
            <w:tcW w:w="1677" w:type="dxa"/>
            <w:vMerge w:val="restart"/>
            <w:tcBorders>
              <w:top w:val="nil"/>
              <w:left w:val="single" w:color="auto" w:sz="8" w:space="0"/>
              <w:bottom w:val="single" w:color="auto" w:sz="8" w:space="0"/>
              <w:right w:val="single" w:color="auto" w:sz="8" w:space="0"/>
            </w:tcBorders>
            <w:vAlign w:val="center"/>
          </w:tcPr>
          <w:p>
            <w:pPr>
              <w:snapToGrid w:val="0"/>
              <w:spacing w:line="440" w:lineRule="exact"/>
              <w:jc w:val="center"/>
              <w:rPr>
                <w:rFonts w:eastAsia="仿宋_GB2312"/>
                <w:kern w:val="0"/>
                <w:sz w:val="28"/>
                <w:szCs w:val="28"/>
              </w:rPr>
            </w:pPr>
            <w:r>
              <w:rPr>
                <w:rFonts w:hint="eastAsia" w:eastAsia="仿宋_GB2312"/>
                <w:kern w:val="0"/>
                <w:sz w:val="28"/>
                <w:szCs w:val="28"/>
              </w:rPr>
              <w:t>计划改造数</w:t>
            </w:r>
          </w:p>
        </w:tc>
        <w:tc>
          <w:tcPr>
            <w:tcW w:w="1678" w:type="dxa"/>
            <w:vMerge w:val="restart"/>
            <w:tcBorders>
              <w:top w:val="nil"/>
              <w:left w:val="single" w:color="auto" w:sz="8" w:space="0"/>
              <w:bottom w:val="single" w:color="auto" w:sz="8" w:space="0"/>
              <w:right w:val="single" w:color="auto" w:sz="8" w:space="0"/>
            </w:tcBorders>
            <w:vAlign w:val="center"/>
          </w:tcPr>
          <w:p>
            <w:pPr>
              <w:snapToGrid w:val="0"/>
              <w:spacing w:line="440" w:lineRule="exact"/>
              <w:jc w:val="center"/>
              <w:rPr>
                <w:rFonts w:eastAsia="仿宋_GB2312"/>
                <w:kern w:val="0"/>
                <w:sz w:val="28"/>
                <w:szCs w:val="28"/>
              </w:rPr>
            </w:pPr>
            <w:r>
              <w:rPr>
                <w:rFonts w:hint="eastAsia" w:eastAsia="仿宋_GB2312"/>
                <w:kern w:val="0"/>
                <w:sz w:val="28"/>
                <w:szCs w:val="28"/>
              </w:rPr>
              <w:t>宣传动员数</w:t>
            </w:r>
          </w:p>
        </w:tc>
        <w:tc>
          <w:tcPr>
            <w:tcW w:w="1677" w:type="dxa"/>
            <w:vMerge w:val="restart"/>
            <w:tcBorders>
              <w:top w:val="nil"/>
              <w:left w:val="single" w:color="auto" w:sz="8" w:space="0"/>
              <w:bottom w:val="single" w:color="auto" w:sz="8" w:space="0"/>
              <w:right w:val="single" w:color="auto" w:sz="8" w:space="0"/>
            </w:tcBorders>
            <w:vAlign w:val="center"/>
          </w:tcPr>
          <w:p>
            <w:pPr>
              <w:snapToGrid w:val="0"/>
              <w:spacing w:line="440" w:lineRule="exact"/>
              <w:jc w:val="center"/>
              <w:rPr>
                <w:rFonts w:eastAsia="仿宋_GB2312"/>
                <w:kern w:val="0"/>
                <w:sz w:val="28"/>
                <w:szCs w:val="28"/>
              </w:rPr>
            </w:pPr>
            <w:r>
              <w:rPr>
                <w:rFonts w:hint="eastAsia" w:eastAsia="仿宋_GB2312"/>
                <w:kern w:val="0"/>
                <w:sz w:val="28"/>
                <w:szCs w:val="28"/>
              </w:rPr>
              <w:t>“瓶改管”签约户数</w:t>
            </w:r>
          </w:p>
        </w:tc>
        <w:tc>
          <w:tcPr>
            <w:tcW w:w="1678" w:type="dxa"/>
            <w:vMerge w:val="restart"/>
            <w:tcBorders>
              <w:top w:val="nil"/>
              <w:left w:val="single" w:color="auto" w:sz="8" w:space="0"/>
              <w:bottom w:val="single" w:color="auto" w:sz="8" w:space="0"/>
              <w:right w:val="single" w:color="auto" w:sz="8" w:space="0"/>
            </w:tcBorders>
            <w:vAlign w:val="center"/>
          </w:tcPr>
          <w:p>
            <w:pPr>
              <w:snapToGrid w:val="0"/>
              <w:spacing w:line="440" w:lineRule="exact"/>
              <w:jc w:val="center"/>
              <w:rPr>
                <w:rFonts w:eastAsia="仿宋_GB2312"/>
                <w:kern w:val="0"/>
                <w:sz w:val="28"/>
                <w:szCs w:val="28"/>
              </w:rPr>
            </w:pPr>
            <w:r>
              <w:rPr>
                <w:rFonts w:hint="eastAsia" w:eastAsia="仿宋_GB2312"/>
                <w:kern w:val="0"/>
                <w:sz w:val="28"/>
                <w:szCs w:val="28"/>
              </w:rPr>
              <w:t>“瓶改管”施工户数</w:t>
            </w:r>
          </w:p>
        </w:tc>
        <w:tc>
          <w:tcPr>
            <w:tcW w:w="1677" w:type="dxa"/>
            <w:vMerge w:val="restart"/>
            <w:tcBorders>
              <w:top w:val="nil"/>
              <w:left w:val="single" w:color="auto" w:sz="8" w:space="0"/>
              <w:bottom w:val="single" w:color="auto" w:sz="8" w:space="0"/>
              <w:right w:val="single" w:color="auto" w:sz="8" w:space="0"/>
            </w:tcBorders>
            <w:vAlign w:val="center"/>
          </w:tcPr>
          <w:p>
            <w:pPr>
              <w:snapToGrid w:val="0"/>
              <w:spacing w:line="440" w:lineRule="exact"/>
              <w:jc w:val="center"/>
              <w:rPr>
                <w:rFonts w:eastAsia="仿宋_GB2312"/>
                <w:kern w:val="0"/>
                <w:sz w:val="28"/>
                <w:szCs w:val="28"/>
              </w:rPr>
            </w:pPr>
            <w:r>
              <w:rPr>
                <w:rFonts w:hint="eastAsia" w:eastAsia="仿宋_GB2312"/>
                <w:kern w:val="0"/>
                <w:sz w:val="28"/>
                <w:szCs w:val="28"/>
              </w:rPr>
              <w:t>“瓶改管”通气户数</w:t>
            </w:r>
          </w:p>
        </w:tc>
        <w:tc>
          <w:tcPr>
            <w:tcW w:w="1678" w:type="dxa"/>
            <w:vMerge w:val="restart"/>
            <w:tcBorders>
              <w:top w:val="nil"/>
              <w:left w:val="single" w:color="auto" w:sz="8" w:space="0"/>
              <w:bottom w:val="single" w:color="auto" w:sz="8" w:space="0"/>
              <w:right w:val="single" w:color="auto" w:sz="8" w:space="0"/>
            </w:tcBorders>
            <w:vAlign w:val="center"/>
          </w:tcPr>
          <w:p>
            <w:pPr>
              <w:snapToGrid w:val="0"/>
              <w:spacing w:line="440" w:lineRule="exact"/>
              <w:jc w:val="center"/>
              <w:rPr>
                <w:rFonts w:eastAsia="仿宋_GB2312"/>
                <w:kern w:val="0"/>
                <w:sz w:val="28"/>
                <w:szCs w:val="28"/>
              </w:rPr>
            </w:pPr>
            <w:r>
              <w:rPr>
                <w:rFonts w:hint="eastAsia" w:eastAsia="仿宋_GB2312"/>
                <w:kern w:val="0"/>
                <w:sz w:val="28"/>
                <w:szCs w:val="28"/>
              </w:rPr>
              <w:t>备注</w:t>
            </w:r>
          </w:p>
        </w:tc>
      </w:tr>
      <w:tr>
        <w:tblPrEx>
          <w:tblCellMar>
            <w:top w:w="0" w:type="dxa"/>
            <w:left w:w="108" w:type="dxa"/>
            <w:bottom w:w="0" w:type="dxa"/>
            <w:right w:w="108" w:type="dxa"/>
          </w:tblCellMar>
        </w:tblPrEx>
        <w:trPr>
          <w:trHeight w:val="624" w:hRule="atLeast"/>
        </w:trPr>
        <w:tc>
          <w:tcPr>
            <w:tcW w:w="1677" w:type="dxa"/>
            <w:vMerge w:val="continue"/>
            <w:tcBorders>
              <w:top w:val="nil"/>
              <w:left w:val="single" w:color="auto" w:sz="8" w:space="0"/>
              <w:bottom w:val="single" w:color="auto" w:sz="8" w:space="0"/>
              <w:right w:val="single" w:color="auto" w:sz="8" w:space="0"/>
            </w:tcBorders>
            <w:vAlign w:val="center"/>
          </w:tcPr>
          <w:p>
            <w:pPr>
              <w:spacing w:line="440" w:lineRule="exact"/>
              <w:jc w:val="left"/>
              <w:rPr>
                <w:rFonts w:eastAsia="仿宋_GB2312" w:cs="宋体"/>
                <w:kern w:val="0"/>
                <w:sz w:val="28"/>
                <w:szCs w:val="28"/>
              </w:rPr>
            </w:pPr>
          </w:p>
        </w:tc>
        <w:tc>
          <w:tcPr>
            <w:tcW w:w="1678" w:type="dxa"/>
            <w:vMerge w:val="continue"/>
            <w:tcBorders>
              <w:top w:val="nil"/>
              <w:left w:val="single" w:color="auto" w:sz="8" w:space="0"/>
              <w:bottom w:val="single" w:color="auto" w:sz="8" w:space="0"/>
              <w:right w:val="single" w:color="auto" w:sz="8" w:space="0"/>
            </w:tcBorders>
            <w:vAlign w:val="center"/>
          </w:tcPr>
          <w:p>
            <w:pPr>
              <w:spacing w:line="440" w:lineRule="exact"/>
              <w:jc w:val="left"/>
              <w:rPr>
                <w:rFonts w:eastAsia="仿宋_GB2312" w:cs="宋体"/>
                <w:kern w:val="0"/>
                <w:sz w:val="28"/>
                <w:szCs w:val="28"/>
              </w:rPr>
            </w:pPr>
          </w:p>
        </w:tc>
        <w:tc>
          <w:tcPr>
            <w:tcW w:w="1677" w:type="dxa"/>
            <w:vMerge w:val="continue"/>
            <w:tcBorders>
              <w:top w:val="nil"/>
              <w:left w:val="single" w:color="auto" w:sz="8" w:space="0"/>
              <w:bottom w:val="single" w:color="auto" w:sz="8" w:space="0"/>
              <w:right w:val="single" w:color="auto" w:sz="8" w:space="0"/>
            </w:tcBorders>
            <w:vAlign w:val="center"/>
          </w:tcPr>
          <w:p>
            <w:pPr>
              <w:spacing w:line="440" w:lineRule="exact"/>
              <w:jc w:val="left"/>
              <w:rPr>
                <w:rFonts w:eastAsia="仿宋_GB2312" w:cs="宋体"/>
                <w:kern w:val="0"/>
                <w:sz w:val="28"/>
                <w:szCs w:val="28"/>
              </w:rPr>
            </w:pPr>
          </w:p>
        </w:tc>
        <w:tc>
          <w:tcPr>
            <w:tcW w:w="1678" w:type="dxa"/>
            <w:vMerge w:val="continue"/>
            <w:tcBorders>
              <w:top w:val="nil"/>
              <w:left w:val="single" w:color="auto" w:sz="8" w:space="0"/>
              <w:bottom w:val="single" w:color="auto" w:sz="8" w:space="0"/>
              <w:right w:val="single" w:color="auto" w:sz="8" w:space="0"/>
            </w:tcBorders>
            <w:vAlign w:val="center"/>
          </w:tcPr>
          <w:p>
            <w:pPr>
              <w:spacing w:line="440" w:lineRule="exact"/>
              <w:jc w:val="left"/>
              <w:rPr>
                <w:rFonts w:eastAsia="仿宋_GB2312" w:cs="宋体"/>
                <w:kern w:val="0"/>
                <w:sz w:val="28"/>
                <w:szCs w:val="28"/>
              </w:rPr>
            </w:pPr>
          </w:p>
        </w:tc>
        <w:tc>
          <w:tcPr>
            <w:tcW w:w="1677" w:type="dxa"/>
            <w:vMerge w:val="continue"/>
            <w:tcBorders>
              <w:top w:val="nil"/>
              <w:left w:val="single" w:color="auto" w:sz="8" w:space="0"/>
              <w:bottom w:val="single" w:color="auto" w:sz="8" w:space="0"/>
              <w:right w:val="single" w:color="auto" w:sz="8" w:space="0"/>
            </w:tcBorders>
            <w:vAlign w:val="center"/>
          </w:tcPr>
          <w:p>
            <w:pPr>
              <w:spacing w:line="440" w:lineRule="exact"/>
              <w:jc w:val="left"/>
              <w:rPr>
                <w:rFonts w:eastAsia="仿宋_GB2312" w:cs="宋体"/>
                <w:kern w:val="0"/>
                <w:sz w:val="28"/>
                <w:szCs w:val="28"/>
              </w:rPr>
            </w:pPr>
          </w:p>
        </w:tc>
        <w:tc>
          <w:tcPr>
            <w:tcW w:w="1678" w:type="dxa"/>
            <w:vMerge w:val="continue"/>
            <w:tcBorders>
              <w:top w:val="nil"/>
              <w:left w:val="single" w:color="auto" w:sz="8" w:space="0"/>
              <w:bottom w:val="single" w:color="auto" w:sz="8" w:space="0"/>
              <w:right w:val="single" w:color="auto" w:sz="8" w:space="0"/>
            </w:tcBorders>
            <w:vAlign w:val="center"/>
          </w:tcPr>
          <w:p>
            <w:pPr>
              <w:spacing w:line="440" w:lineRule="exact"/>
              <w:jc w:val="left"/>
              <w:rPr>
                <w:rFonts w:eastAsia="仿宋_GB2312" w:cs="宋体"/>
                <w:kern w:val="0"/>
                <w:sz w:val="28"/>
                <w:szCs w:val="28"/>
              </w:rPr>
            </w:pPr>
          </w:p>
        </w:tc>
      </w:tr>
      <w:tr>
        <w:tblPrEx>
          <w:tblCellMar>
            <w:top w:w="0" w:type="dxa"/>
            <w:left w:w="108" w:type="dxa"/>
            <w:bottom w:w="0" w:type="dxa"/>
            <w:right w:w="108" w:type="dxa"/>
          </w:tblCellMar>
        </w:tblPrEx>
        <w:trPr>
          <w:trHeight w:val="624" w:hRule="atLeast"/>
        </w:trPr>
        <w:tc>
          <w:tcPr>
            <w:tcW w:w="1677" w:type="dxa"/>
            <w:vMerge w:val="continue"/>
            <w:tcBorders>
              <w:top w:val="nil"/>
              <w:left w:val="single" w:color="auto" w:sz="8" w:space="0"/>
              <w:bottom w:val="single" w:color="auto" w:sz="8" w:space="0"/>
              <w:right w:val="single" w:color="auto" w:sz="8" w:space="0"/>
            </w:tcBorders>
            <w:vAlign w:val="center"/>
          </w:tcPr>
          <w:p>
            <w:pPr>
              <w:spacing w:line="440" w:lineRule="exact"/>
              <w:jc w:val="left"/>
              <w:rPr>
                <w:rFonts w:eastAsia="仿宋_GB2312" w:cs="宋体"/>
                <w:kern w:val="0"/>
                <w:sz w:val="28"/>
                <w:szCs w:val="28"/>
              </w:rPr>
            </w:pPr>
          </w:p>
        </w:tc>
        <w:tc>
          <w:tcPr>
            <w:tcW w:w="1678" w:type="dxa"/>
            <w:vMerge w:val="continue"/>
            <w:tcBorders>
              <w:top w:val="nil"/>
              <w:left w:val="single" w:color="auto" w:sz="8" w:space="0"/>
              <w:bottom w:val="single" w:color="auto" w:sz="8" w:space="0"/>
              <w:right w:val="single" w:color="auto" w:sz="8" w:space="0"/>
            </w:tcBorders>
            <w:vAlign w:val="center"/>
          </w:tcPr>
          <w:p>
            <w:pPr>
              <w:spacing w:line="440" w:lineRule="exact"/>
              <w:jc w:val="left"/>
              <w:rPr>
                <w:rFonts w:eastAsia="仿宋_GB2312" w:cs="宋体"/>
                <w:kern w:val="0"/>
                <w:sz w:val="28"/>
                <w:szCs w:val="28"/>
              </w:rPr>
            </w:pPr>
          </w:p>
        </w:tc>
        <w:tc>
          <w:tcPr>
            <w:tcW w:w="1677" w:type="dxa"/>
            <w:vMerge w:val="continue"/>
            <w:tcBorders>
              <w:top w:val="nil"/>
              <w:left w:val="single" w:color="auto" w:sz="8" w:space="0"/>
              <w:bottom w:val="single" w:color="auto" w:sz="8" w:space="0"/>
              <w:right w:val="single" w:color="auto" w:sz="8" w:space="0"/>
            </w:tcBorders>
            <w:vAlign w:val="center"/>
          </w:tcPr>
          <w:p>
            <w:pPr>
              <w:spacing w:line="440" w:lineRule="exact"/>
              <w:jc w:val="left"/>
              <w:rPr>
                <w:rFonts w:eastAsia="仿宋_GB2312" w:cs="宋体"/>
                <w:kern w:val="0"/>
                <w:sz w:val="28"/>
                <w:szCs w:val="28"/>
              </w:rPr>
            </w:pPr>
          </w:p>
        </w:tc>
        <w:tc>
          <w:tcPr>
            <w:tcW w:w="1678" w:type="dxa"/>
            <w:vMerge w:val="continue"/>
            <w:tcBorders>
              <w:top w:val="nil"/>
              <w:left w:val="single" w:color="auto" w:sz="8" w:space="0"/>
              <w:bottom w:val="single" w:color="auto" w:sz="8" w:space="0"/>
              <w:right w:val="single" w:color="auto" w:sz="8" w:space="0"/>
            </w:tcBorders>
            <w:vAlign w:val="center"/>
          </w:tcPr>
          <w:p>
            <w:pPr>
              <w:spacing w:line="440" w:lineRule="exact"/>
              <w:jc w:val="left"/>
              <w:rPr>
                <w:rFonts w:eastAsia="仿宋_GB2312" w:cs="宋体"/>
                <w:kern w:val="0"/>
                <w:sz w:val="28"/>
                <w:szCs w:val="28"/>
              </w:rPr>
            </w:pPr>
          </w:p>
        </w:tc>
        <w:tc>
          <w:tcPr>
            <w:tcW w:w="1677" w:type="dxa"/>
            <w:vMerge w:val="continue"/>
            <w:tcBorders>
              <w:top w:val="nil"/>
              <w:left w:val="single" w:color="auto" w:sz="8" w:space="0"/>
              <w:bottom w:val="single" w:color="auto" w:sz="8" w:space="0"/>
              <w:right w:val="single" w:color="auto" w:sz="8" w:space="0"/>
            </w:tcBorders>
            <w:vAlign w:val="center"/>
          </w:tcPr>
          <w:p>
            <w:pPr>
              <w:spacing w:line="440" w:lineRule="exact"/>
              <w:jc w:val="left"/>
              <w:rPr>
                <w:rFonts w:eastAsia="仿宋_GB2312" w:cs="宋体"/>
                <w:kern w:val="0"/>
                <w:sz w:val="28"/>
                <w:szCs w:val="28"/>
              </w:rPr>
            </w:pPr>
          </w:p>
        </w:tc>
        <w:tc>
          <w:tcPr>
            <w:tcW w:w="1678" w:type="dxa"/>
            <w:vMerge w:val="continue"/>
            <w:tcBorders>
              <w:top w:val="nil"/>
              <w:left w:val="single" w:color="auto" w:sz="8" w:space="0"/>
              <w:bottom w:val="single" w:color="auto" w:sz="8" w:space="0"/>
              <w:right w:val="single" w:color="auto" w:sz="8" w:space="0"/>
            </w:tcBorders>
            <w:vAlign w:val="center"/>
          </w:tcPr>
          <w:p>
            <w:pPr>
              <w:spacing w:line="440" w:lineRule="exact"/>
              <w:jc w:val="left"/>
              <w:rPr>
                <w:rFonts w:eastAsia="仿宋_GB2312" w:cs="宋体"/>
                <w:kern w:val="0"/>
                <w:sz w:val="28"/>
                <w:szCs w:val="28"/>
              </w:rPr>
            </w:pPr>
          </w:p>
        </w:tc>
      </w:tr>
      <w:tr>
        <w:tblPrEx>
          <w:tblCellMar>
            <w:top w:w="0" w:type="dxa"/>
            <w:left w:w="108" w:type="dxa"/>
            <w:bottom w:w="0" w:type="dxa"/>
            <w:right w:w="108" w:type="dxa"/>
          </w:tblCellMar>
        </w:tblPrEx>
        <w:trPr>
          <w:trHeight w:val="270" w:hRule="atLeast"/>
        </w:trPr>
        <w:tc>
          <w:tcPr>
            <w:tcW w:w="1677" w:type="dxa"/>
            <w:tcBorders>
              <w:top w:val="nil"/>
              <w:left w:val="single" w:color="auto" w:sz="8" w:space="0"/>
              <w:bottom w:val="single" w:color="auto" w:sz="8" w:space="0"/>
              <w:right w:val="single" w:color="auto" w:sz="8" w:space="0"/>
            </w:tcBorders>
            <w:vAlign w:val="center"/>
          </w:tcPr>
          <w:p>
            <w:pPr>
              <w:spacing w:line="440" w:lineRule="exact"/>
              <w:jc w:val="center"/>
              <w:rPr>
                <w:rFonts w:eastAsia="仿宋_GB2312" w:cs="宋体"/>
                <w:kern w:val="0"/>
                <w:sz w:val="20"/>
                <w:szCs w:val="20"/>
              </w:rPr>
            </w:pPr>
          </w:p>
        </w:tc>
        <w:tc>
          <w:tcPr>
            <w:tcW w:w="1678" w:type="dxa"/>
            <w:tcBorders>
              <w:top w:val="nil"/>
              <w:left w:val="nil"/>
              <w:bottom w:val="single" w:color="auto" w:sz="8" w:space="0"/>
              <w:right w:val="single" w:color="auto" w:sz="8" w:space="0"/>
            </w:tcBorders>
            <w:vAlign w:val="center"/>
          </w:tcPr>
          <w:p>
            <w:pPr>
              <w:spacing w:line="440" w:lineRule="exact"/>
              <w:rPr>
                <w:rFonts w:eastAsia="仿宋_GB2312" w:cs="宋体"/>
                <w:kern w:val="0"/>
                <w:sz w:val="30"/>
                <w:szCs w:val="30"/>
              </w:rPr>
            </w:pPr>
            <w:r>
              <w:rPr>
                <w:rFonts w:hint="eastAsia" w:eastAsia="仿宋_GB2312" w:cs="宋体"/>
                <w:kern w:val="0"/>
                <w:sz w:val="30"/>
                <w:szCs w:val="30"/>
              </w:rPr>
              <w:t>　</w:t>
            </w:r>
          </w:p>
        </w:tc>
        <w:tc>
          <w:tcPr>
            <w:tcW w:w="1677" w:type="dxa"/>
            <w:tcBorders>
              <w:top w:val="nil"/>
              <w:left w:val="nil"/>
              <w:bottom w:val="single" w:color="auto" w:sz="8" w:space="0"/>
              <w:right w:val="single" w:color="auto" w:sz="8" w:space="0"/>
            </w:tcBorders>
            <w:vAlign w:val="center"/>
          </w:tcPr>
          <w:p>
            <w:pPr>
              <w:spacing w:line="440" w:lineRule="exact"/>
              <w:jc w:val="center"/>
              <w:rPr>
                <w:rFonts w:eastAsia="仿宋_GB2312" w:cs="宋体"/>
                <w:kern w:val="0"/>
                <w:sz w:val="30"/>
                <w:szCs w:val="30"/>
              </w:rPr>
            </w:pPr>
            <w:r>
              <w:rPr>
                <w:rFonts w:hint="eastAsia" w:eastAsia="仿宋_GB2312" w:cs="宋体"/>
                <w:kern w:val="0"/>
                <w:sz w:val="30"/>
                <w:szCs w:val="30"/>
              </w:rPr>
              <w:t>　</w:t>
            </w:r>
          </w:p>
        </w:tc>
        <w:tc>
          <w:tcPr>
            <w:tcW w:w="1678" w:type="dxa"/>
            <w:tcBorders>
              <w:top w:val="nil"/>
              <w:left w:val="nil"/>
              <w:bottom w:val="single" w:color="auto" w:sz="8" w:space="0"/>
              <w:right w:val="single" w:color="auto" w:sz="8" w:space="0"/>
            </w:tcBorders>
            <w:vAlign w:val="center"/>
          </w:tcPr>
          <w:p>
            <w:pPr>
              <w:spacing w:line="440" w:lineRule="exact"/>
              <w:jc w:val="center"/>
              <w:rPr>
                <w:rFonts w:eastAsia="仿宋_GB2312" w:cs="宋体"/>
                <w:kern w:val="0"/>
                <w:sz w:val="30"/>
                <w:szCs w:val="30"/>
              </w:rPr>
            </w:pPr>
            <w:r>
              <w:rPr>
                <w:rFonts w:hint="eastAsia" w:eastAsia="仿宋_GB2312" w:cs="宋体"/>
                <w:kern w:val="0"/>
                <w:sz w:val="30"/>
                <w:szCs w:val="30"/>
              </w:rPr>
              <w:t>　</w:t>
            </w:r>
          </w:p>
        </w:tc>
        <w:tc>
          <w:tcPr>
            <w:tcW w:w="1677" w:type="dxa"/>
            <w:tcBorders>
              <w:top w:val="nil"/>
              <w:left w:val="nil"/>
              <w:bottom w:val="single" w:color="auto" w:sz="8" w:space="0"/>
              <w:right w:val="single" w:color="auto" w:sz="8" w:space="0"/>
            </w:tcBorders>
            <w:vAlign w:val="center"/>
          </w:tcPr>
          <w:p>
            <w:pPr>
              <w:spacing w:line="440" w:lineRule="exact"/>
              <w:jc w:val="center"/>
              <w:rPr>
                <w:rFonts w:eastAsia="仿宋_GB2312" w:cs="宋体"/>
                <w:kern w:val="0"/>
                <w:sz w:val="30"/>
                <w:szCs w:val="30"/>
              </w:rPr>
            </w:pPr>
            <w:r>
              <w:rPr>
                <w:rFonts w:hint="eastAsia" w:eastAsia="仿宋_GB2312" w:cs="宋体"/>
                <w:kern w:val="0"/>
                <w:sz w:val="30"/>
                <w:szCs w:val="30"/>
              </w:rPr>
              <w:t>　</w:t>
            </w:r>
          </w:p>
        </w:tc>
        <w:tc>
          <w:tcPr>
            <w:tcW w:w="1678" w:type="dxa"/>
            <w:tcBorders>
              <w:top w:val="nil"/>
              <w:left w:val="nil"/>
              <w:bottom w:val="single" w:color="auto" w:sz="8" w:space="0"/>
              <w:right w:val="single" w:color="auto" w:sz="8" w:space="0"/>
            </w:tcBorders>
            <w:vAlign w:val="center"/>
          </w:tcPr>
          <w:p>
            <w:pPr>
              <w:spacing w:line="440" w:lineRule="exact"/>
              <w:jc w:val="center"/>
              <w:rPr>
                <w:rFonts w:eastAsia="仿宋_GB2312" w:cs="宋体"/>
                <w:kern w:val="0"/>
                <w:sz w:val="30"/>
                <w:szCs w:val="30"/>
              </w:rPr>
            </w:pPr>
            <w:r>
              <w:rPr>
                <w:rFonts w:hint="eastAsia" w:eastAsia="仿宋_GB2312" w:cs="宋体"/>
                <w:kern w:val="0"/>
                <w:sz w:val="30"/>
                <w:szCs w:val="30"/>
              </w:rPr>
              <w:t>　</w:t>
            </w:r>
          </w:p>
        </w:tc>
      </w:tr>
      <w:tr>
        <w:tblPrEx>
          <w:tblCellMar>
            <w:top w:w="0" w:type="dxa"/>
            <w:left w:w="108" w:type="dxa"/>
            <w:bottom w:w="0" w:type="dxa"/>
            <w:right w:w="108" w:type="dxa"/>
          </w:tblCellMar>
        </w:tblPrEx>
        <w:trPr>
          <w:trHeight w:val="465" w:hRule="atLeast"/>
        </w:trPr>
        <w:tc>
          <w:tcPr>
            <w:tcW w:w="10065" w:type="dxa"/>
            <w:gridSpan w:val="6"/>
            <w:tcBorders>
              <w:top w:val="single" w:color="auto" w:sz="8" w:space="0"/>
              <w:left w:val="single" w:color="auto" w:sz="8" w:space="0"/>
              <w:bottom w:val="single" w:color="auto" w:sz="8" w:space="0"/>
              <w:right w:val="single" w:color="auto" w:sz="8" w:space="0"/>
            </w:tcBorders>
            <w:noWrap/>
            <w:vAlign w:val="center"/>
          </w:tcPr>
          <w:p>
            <w:pPr>
              <w:spacing w:line="440" w:lineRule="exact"/>
              <w:jc w:val="center"/>
              <w:rPr>
                <w:rFonts w:eastAsia="仿宋_GB2312" w:cs="宋体"/>
                <w:kern w:val="0"/>
                <w:sz w:val="32"/>
                <w:szCs w:val="32"/>
              </w:rPr>
            </w:pPr>
            <w:r>
              <w:rPr>
                <w:rFonts w:hint="eastAsia" w:eastAsia="仿宋_GB2312" w:cs="宋体"/>
                <w:kern w:val="0"/>
                <w:sz w:val="32"/>
                <w:szCs w:val="32"/>
              </w:rPr>
              <w:t>餐饮场所“瓶改电”汇总</w:t>
            </w:r>
          </w:p>
        </w:tc>
      </w:tr>
      <w:tr>
        <w:tblPrEx>
          <w:tblCellMar>
            <w:top w:w="0" w:type="dxa"/>
            <w:left w:w="108" w:type="dxa"/>
            <w:bottom w:w="0" w:type="dxa"/>
            <w:right w:w="108" w:type="dxa"/>
          </w:tblCellMar>
        </w:tblPrEx>
        <w:trPr>
          <w:trHeight w:val="624" w:hRule="atLeast"/>
        </w:trPr>
        <w:tc>
          <w:tcPr>
            <w:tcW w:w="1677" w:type="dxa"/>
            <w:vMerge w:val="restart"/>
            <w:tcBorders>
              <w:top w:val="nil"/>
              <w:left w:val="single" w:color="auto" w:sz="8" w:space="0"/>
              <w:bottom w:val="single" w:color="auto" w:sz="8" w:space="0"/>
              <w:right w:val="single" w:color="auto" w:sz="8" w:space="0"/>
            </w:tcBorders>
            <w:vAlign w:val="center"/>
          </w:tcPr>
          <w:p>
            <w:pPr>
              <w:spacing w:line="440" w:lineRule="exact"/>
              <w:jc w:val="center"/>
              <w:rPr>
                <w:rFonts w:eastAsia="仿宋_GB2312" w:cs="宋体"/>
                <w:kern w:val="0"/>
                <w:sz w:val="28"/>
                <w:szCs w:val="28"/>
              </w:rPr>
            </w:pPr>
            <w:r>
              <w:rPr>
                <w:rFonts w:hint="eastAsia" w:eastAsia="仿宋_GB2312" w:cs="宋体"/>
                <w:kern w:val="0"/>
                <w:sz w:val="28"/>
                <w:szCs w:val="28"/>
              </w:rPr>
              <w:t>计划改造数</w:t>
            </w:r>
          </w:p>
        </w:tc>
        <w:tc>
          <w:tcPr>
            <w:tcW w:w="1678" w:type="dxa"/>
            <w:vMerge w:val="restart"/>
            <w:tcBorders>
              <w:top w:val="nil"/>
              <w:left w:val="single" w:color="auto" w:sz="8" w:space="0"/>
              <w:bottom w:val="single" w:color="auto" w:sz="8" w:space="0"/>
              <w:right w:val="single" w:color="auto" w:sz="8" w:space="0"/>
            </w:tcBorders>
            <w:vAlign w:val="center"/>
          </w:tcPr>
          <w:p>
            <w:pPr>
              <w:spacing w:line="440" w:lineRule="exact"/>
              <w:jc w:val="center"/>
              <w:rPr>
                <w:rFonts w:eastAsia="仿宋_GB2312" w:cs="宋体"/>
                <w:kern w:val="0"/>
                <w:sz w:val="28"/>
                <w:szCs w:val="28"/>
              </w:rPr>
            </w:pPr>
            <w:r>
              <w:rPr>
                <w:rFonts w:hint="eastAsia" w:eastAsia="仿宋_GB2312" w:cs="宋体"/>
                <w:kern w:val="0"/>
                <w:sz w:val="28"/>
                <w:szCs w:val="28"/>
              </w:rPr>
              <w:t>宣传动员数</w:t>
            </w:r>
          </w:p>
        </w:tc>
        <w:tc>
          <w:tcPr>
            <w:tcW w:w="1677" w:type="dxa"/>
            <w:vMerge w:val="restart"/>
            <w:tcBorders>
              <w:top w:val="nil"/>
              <w:left w:val="single" w:color="auto" w:sz="8" w:space="0"/>
              <w:bottom w:val="single" w:color="auto" w:sz="8" w:space="0"/>
              <w:right w:val="single" w:color="auto" w:sz="8" w:space="0"/>
            </w:tcBorders>
            <w:vAlign w:val="center"/>
          </w:tcPr>
          <w:p>
            <w:pPr>
              <w:spacing w:line="440" w:lineRule="exact"/>
              <w:jc w:val="center"/>
              <w:rPr>
                <w:rFonts w:eastAsia="仿宋_GB2312" w:cs="宋体"/>
                <w:kern w:val="0"/>
                <w:sz w:val="28"/>
                <w:szCs w:val="28"/>
              </w:rPr>
            </w:pPr>
            <w:r>
              <w:rPr>
                <w:rFonts w:hint="eastAsia" w:eastAsia="仿宋_GB2312" w:cs="宋体"/>
                <w:kern w:val="0"/>
                <w:sz w:val="28"/>
                <w:szCs w:val="28"/>
              </w:rPr>
              <w:t>“瓶改电”签约户数</w:t>
            </w:r>
          </w:p>
        </w:tc>
        <w:tc>
          <w:tcPr>
            <w:tcW w:w="1678" w:type="dxa"/>
            <w:vMerge w:val="restart"/>
            <w:tcBorders>
              <w:top w:val="nil"/>
              <w:left w:val="single" w:color="auto" w:sz="8" w:space="0"/>
              <w:bottom w:val="single" w:color="auto" w:sz="8" w:space="0"/>
              <w:right w:val="single" w:color="auto" w:sz="8" w:space="0"/>
            </w:tcBorders>
            <w:vAlign w:val="center"/>
          </w:tcPr>
          <w:p>
            <w:pPr>
              <w:spacing w:line="440" w:lineRule="exact"/>
              <w:jc w:val="center"/>
              <w:rPr>
                <w:rFonts w:eastAsia="仿宋_GB2312" w:cs="宋体"/>
                <w:kern w:val="0"/>
                <w:sz w:val="28"/>
                <w:szCs w:val="28"/>
              </w:rPr>
            </w:pPr>
            <w:r>
              <w:rPr>
                <w:rFonts w:hint="eastAsia" w:eastAsia="仿宋_GB2312" w:cs="宋体"/>
                <w:kern w:val="0"/>
                <w:sz w:val="28"/>
                <w:szCs w:val="28"/>
              </w:rPr>
              <w:t>“瓶改电”施工户数</w:t>
            </w:r>
          </w:p>
        </w:tc>
        <w:tc>
          <w:tcPr>
            <w:tcW w:w="1677" w:type="dxa"/>
            <w:vMerge w:val="restart"/>
            <w:tcBorders>
              <w:top w:val="nil"/>
              <w:left w:val="single" w:color="auto" w:sz="8" w:space="0"/>
              <w:bottom w:val="single" w:color="auto" w:sz="8" w:space="0"/>
              <w:right w:val="single" w:color="auto" w:sz="8" w:space="0"/>
            </w:tcBorders>
            <w:vAlign w:val="center"/>
          </w:tcPr>
          <w:p>
            <w:pPr>
              <w:spacing w:line="440" w:lineRule="exact"/>
              <w:jc w:val="center"/>
              <w:rPr>
                <w:rFonts w:eastAsia="仿宋_GB2312" w:cs="宋体"/>
                <w:kern w:val="0"/>
                <w:sz w:val="28"/>
                <w:szCs w:val="28"/>
              </w:rPr>
            </w:pPr>
            <w:r>
              <w:rPr>
                <w:rFonts w:hint="eastAsia" w:eastAsia="仿宋_GB2312" w:cs="宋体"/>
                <w:kern w:val="0"/>
                <w:sz w:val="28"/>
                <w:szCs w:val="28"/>
              </w:rPr>
              <w:t>“瓶改电”通电户数</w:t>
            </w:r>
          </w:p>
        </w:tc>
        <w:tc>
          <w:tcPr>
            <w:tcW w:w="1678" w:type="dxa"/>
            <w:vMerge w:val="restart"/>
            <w:tcBorders>
              <w:top w:val="nil"/>
              <w:left w:val="single" w:color="auto" w:sz="8" w:space="0"/>
              <w:bottom w:val="single" w:color="auto" w:sz="8" w:space="0"/>
              <w:right w:val="single" w:color="auto" w:sz="8" w:space="0"/>
            </w:tcBorders>
            <w:vAlign w:val="center"/>
          </w:tcPr>
          <w:p>
            <w:pPr>
              <w:spacing w:line="440" w:lineRule="exact"/>
              <w:jc w:val="center"/>
              <w:rPr>
                <w:rFonts w:eastAsia="仿宋_GB2312" w:cs="宋体"/>
                <w:kern w:val="0"/>
                <w:sz w:val="28"/>
                <w:szCs w:val="28"/>
              </w:rPr>
            </w:pPr>
            <w:r>
              <w:rPr>
                <w:rFonts w:hint="eastAsia" w:eastAsia="仿宋_GB2312" w:cs="宋体"/>
                <w:kern w:val="0"/>
                <w:sz w:val="28"/>
                <w:szCs w:val="28"/>
              </w:rPr>
              <w:t>备注</w:t>
            </w:r>
          </w:p>
        </w:tc>
      </w:tr>
      <w:tr>
        <w:trPr>
          <w:trHeight w:val="624" w:hRule="atLeast"/>
        </w:trPr>
        <w:tc>
          <w:tcPr>
            <w:tcW w:w="1677" w:type="dxa"/>
            <w:vMerge w:val="continue"/>
            <w:tcBorders>
              <w:top w:val="nil"/>
              <w:left w:val="single" w:color="auto" w:sz="8" w:space="0"/>
              <w:bottom w:val="single" w:color="auto" w:sz="8" w:space="0"/>
              <w:right w:val="single" w:color="auto" w:sz="8" w:space="0"/>
            </w:tcBorders>
            <w:vAlign w:val="center"/>
          </w:tcPr>
          <w:p>
            <w:pPr>
              <w:spacing w:line="560" w:lineRule="exact"/>
              <w:jc w:val="left"/>
              <w:rPr>
                <w:rFonts w:eastAsia="微软雅黑" w:cs="宋体"/>
                <w:kern w:val="0"/>
                <w:sz w:val="28"/>
                <w:szCs w:val="28"/>
              </w:rPr>
            </w:pPr>
          </w:p>
        </w:tc>
        <w:tc>
          <w:tcPr>
            <w:tcW w:w="1678" w:type="dxa"/>
            <w:vMerge w:val="continue"/>
            <w:tcBorders>
              <w:top w:val="nil"/>
              <w:left w:val="single" w:color="auto" w:sz="8" w:space="0"/>
              <w:bottom w:val="single" w:color="auto" w:sz="8" w:space="0"/>
              <w:right w:val="single" w:color="auto" w:sz="8" w:space="0"/>
            </w:tcBorders>
            <w:vAlign w:val="center"/>
          </w:tcPr>
          <w:p>
            <w:pPr>
              <w:spacing w:line="560" w:lineRule="exact"/>
              <w:jc w:val="left"/>
              <w:rPr>
                <w:rFonts w:eastAsia="微软雅黑" w:cs="宋体"/>
                <w:kern w:val="0"/>
                <w:sz w:val="28"/>
                <w:szCs w:val="28"/>
              </w:rPr>
            </w:pPr>
          </w:p>
        </w:tc>
        <w:tc>
          <w:tcPr>
            <w:tcW w:w="1677" w:type="dxa"/>
            <w:vMerge w:val="continue"/>
            <w:tcBorders>
              <w:top w:val="nil"/>
              <w:left w:val="single" w:color="auto" w:sz="8" w:space="0"/>
              <w:bottom w:val="single" w:color="auto" w:sz="8" w:space="0"/>
              <w:right w:val="single" w:color="auto" w:sz="8" w:space="0"/>
            </w:tcBorders>
            <w:vAlign w:val="center"/>
          </w:tcPr>
          <w:p>
            <w:pPr>
              <w:spacing w:line="560" w:lineRule="exact"/>
              <w:jc w:val="left"/>
              <w:rPr>
                <w:rFonts w:eastAsia="微软雅黑" w:cs="宋体"/>
                <w:kern w:val="0"/>
                <w:sz w:val="28"/>
                <w:szCs w:val="28"/>
              </w:rPr>
            </w:pPr>
          </w:p>
        </w:tc>
        <w:tc>
          <w:tcPr>
            <w:tcW w:w="1678" w:type="dxa"/>
            <w:vMerge w:val="continue"/>
            <w:tcBorders>
              <w:top w:val="nil"/>
              <w:left w:val="single" w:color="auto" w:sz="8" w:space="0"/>
              <w:bottom w:val="single" w:color="auto" w:sz="8" w:space="0"/>
              <w:right w:val="single" w:color="auto" w:sz="8" w:space="0"/>
            </w:tcBorders>
            <w:vAlign w:val="center"/>
          </w:tcPr>
          <w:p>
            <w:pPr>
              <w:spacing w:line="560" w:lineRule="exact"/>
              <w:jc w:val="left"/>
              <w:rPr>
                <w:rFonts w:eastAsia="微软雅黑" w:cs="宋体"/>
                <w:kern w:val="0"/>
                <w:sz w:val="28"/>
                <w:szCs w:val="28"/>
              </w:rPr>
            </w:pPr>
          </w:p>
        </w:tc>
        <w:tc>
          <w:tcPr>
            <w:tcW w:w="1677" w:type="dxa"/>
            <w:vMerge w:val="continue"/>
            <w:tcBorders>
              <w:top w:val="nil"/>
              <w:left w:val="single" w:color="auto" w:sz="8" w:space="0"/>
              <w:bottom w:val="single" w:color="auto" w:sz="8" w:space="0"/>
              <w:right w:val="single" w:color="auto" w:sz="8" w:space="0"/>
            </w:tcBorders>
            <w:vAlign w:val="center"/>
          </w:tcPr>
          <w:p>
            <w:pPr>
              <w:spacing w:line="560" w:lineRule="exact"/>
              <w:jc w:val="left"/>
              <w:rPr>
                <w:rFonts w:eastAsia="微软雅黑" w:cs="宋体"/>
                <w:kern w:val="0"/>
                <w:sz w:val="28"/>
                <w:szCs w:val="28"/>
              </w:rPr>
            </w:pPr>
          </w:p>
        </w:tc>
        <w:tc>
          <w:tcPr>
            <w:tcW w:w="1678" w:type="dxa"/>
            <w:vMerge w:val="continue"/>
            <w:tcBorders>
              <w:top w:val="nil"/>
              <w:left w:val="single" w:color="auto" w:sz="8" w:space="0"/>
              <w:bottom w:val="single" w:color="auto" w:sz="8" w:space="0"/>
              <w:right w:val="single" w:color="auto" w:sz="8" w:space="0"/>
            </w:tcBorders>
            <w:vAlign w:val="center"/>
          </w:tcPr>
          <w:p>
            <w:pPr>
              <w:spacing w:line="560" w:lineRule="exact"/>
              <w:jc w:val="left"/>
              <w:rPr>
                <w:rFonts w:eastAsia="微软雅黑" w:cs="宋体"/>
                <w:kern w:val="0"/>
                <w:sz w:val="28"/>
                <w:szCs w:val="28"/>
              </w:rPr>
            </w:pPr>
          </w:p>
        </w:tc>
      </w:tr>
      <w:tr>
        <w:tblPrEx>
          <w:tblCellMar>
            <w:top w:w="0" w:type="dxa"/>
            <w:left w:w="108" w:type="dxa"/>
            <w:bottom w:w="0" w:type="dxa"/>
            <w:right w:w="108" w:type="dxa"/>
          </w:tblCellMar>
        </w:tblPrEx>
        <w:trPr>
          <w:trHeight w:val="624" w:hRule="atLeast"/>
        </w:trPr>
        <w:tc>
          <w:tcPr>
            <w:tcW w:w="1677" w:type="dxa"/>
            <w:vMerge w:val="continue"/>
            <w:tcBorders>
              <w:top w:val="nil"/>
              <w:left w:val="single" w:color="auto" w:sz="8" w:space="0"/>
              <w:bottom w:val="single" w:color="auto" w:sz="8" w:space="0"/>
              <w:right w:val="single" w:color="auto" w:sz="8" w:space="0"/>
            </w:tcBorders>
            <w:vAlign w:val="center"/>
          </w:tcPr>
          <w:p>
            <w:pPr>
              <w:spacing w:line="560" w:lineRule="exact"/>
              <w:jc w:val="left"/>
              <w:rPr>
                <w:rFonts w:eastAsia="微软雅黑" w:cs="宋体"/>
                <w:kern w:val="0"/>
                <w:sz w:val="28"/>
                <w:szCs w:val="28"/>
              </w:rPr>
            </w:pPr>
          </w:p>
        </w:tc>
        <w:tc>
          <w:tcPr>
            <w:tcW w:w="1678" w:type="dxa"/>
            <w:vMerge w:val="continue"/>
            <w:tcBorders>
              <w:top w:val="nil"/>
              <w:left w:val="single" w:color="auto" w:sz="8" w:space="0"/>
              <w:bottom w:val="single" w:color="auto" w:sz="8" w:space="0"/>
              <w:right w:val="single" w:color="auto" w:sz="8" w:space="0"/>
            </w:tcBorders>
            <w:vAlign w:val="center"/>
          </w:tcPr>
          <w:p>
            <w:pPr>
              <w:spacing w:line="560" w:lineRule="exact"/>
              <w:jc w:val="left"/>
              <w:rPr>
                <w:rFonts w:eastAsia="微软雅黑" w:cs="宋体"/>
                <w:kern w:val="0"/>
                <w:sz w:val="28"/>
                <w:szCs w:val="28"/>
              </w:rPr>
            </w:pPr>
          </w:p>
        </w:tc>
        <w:tc>
          <w:tcPr>
            <w:tcW w:w="1677" w:type="dxa"/>
            <w:vMerge w:val="continue"/>
            <w:tcBorders>
              <w:top w:val="nil"/>
              <w:left w:val="single" w:color="auto" w:sz="8" w:space="0"/>
              <w:bottom w:val="single" w:color="auto" w:sz="8" w:space="0"/>
              <w:right w:val="single" w:color="auto" w:sz="8" w:space="0"/>
            </w:tcBorders>
            <w:vAlign w:val="center"/>
          </w:tcPr>
          <w:p>
            <w:pPr>
              <w:spacing w:line="560" w:lineRule="exact"/>
              <w:jc w:val="left"/>
              <w:rPr>
                <w:rFonts w:eastAsia="微软雅黑" w:cs="宋体"/>
                <w:kern w:val="0"/>
                <w:sz w:val="28"/>
                <w:szCs w:val="28"/>
              </w:rPr>
            </w:pPr>
          </w:p>
        </w:tc>
        <w:tc>
          <w:tcPr>
            <w:tcW w:w="1678" w:type="dxa"/>
            <w:vMerge w:val="continue"/>
            <w:tcBorders>
              <w:top w:val="nil"/>
              <w:left w:val="single" w:color="auto" w:sz="8" w:space="0"/>
              <w:bottom w:val="single" w:color="auto" w:sz="8" w:space="0"/>
              <w:right w:val="single" w:color="auto" w:sz="8" w:space="0"/>
            </w:tcBorders>
            <w:vAlign w:val="center"/>
          </w:tcPr>
          <w:p>
            <w:pPr>
              <w:spacing w:line="560" w:lineRule="exact"/>
              <w:jc w:val="left"/>
              <w:rPr>
                <w:rFonts w:eastAsia="微软雅黑" w:cs="宋体"/>
                <w:kern w:val="0"/>
                <w:sz w:val="28"/>
                <w:szCs w:val="28"/>
              </w:rPr>
            </w:pPr>
          </w:p>
        </w:tc>
        <w:tc>
          <w:tcPr>
            <w:tcW w:w="1677" w:type="dxa"/>
            <w:vMerge w:val="continue"/>
            <w:tcBorders>
              <w:top w:val="nil"/>
              <w:left w:val="single" w:color="auto" w:sz="8" w:space="0"/>
              <w:bottom w:val="single" w:color="auto" w:sz="8" w:space="0"/>
              <w:right w:val="single" w:color="auto" w:sz="8" w:space="0"/>
            </w:tcBorders>
            <w:vAlign w:val="center"/>
          </w:tcPr>
          <w:p>
            <w:pPr>
              <w:spacing w:line="560" w:lineRule="exact"/>
              <w:jc w:val="left"/>
              <w:rPr>
                <w:rFonts w:eastAsia="微软雅黑" w:cs="宋体"/>
                <w:kern w:val="0"/>
                <w:sz w:val="28"/>
                <w:szCs w:val="28"/>
              </w:rPr>
            </w:pPr>
          </w:p>
        </w:tc>
        <w:tc>
          <w:tcPr>
            <w:tcW w:w="1678" w:type="dxa"/>
            <w:vMerge w:val="continue"/>
            <w:tcBorders>
              <w:top w:val="nil"/>
              <w:left w:val="single" w:color="auto" w:sz="8" w:space="0"/>
              <w:bottom w:val="single" w:color="auto" w:sz="8" w:space="0"/>
              <w:right w:val="single" w:color="auto" w:sz="8" w:space="0"/>
            </w:tcBorders>
            <w:vAlign w:val="center"/>
          </w:tcPr>
          <w:p>
            <w:pPr>
              <w:spacing w:line="560" w:lineRule="exact"/>
              <w:jc w:val="left"/>
              <w:rPr>
                <w:rFonts w:eastAsia="微软雅黑" w:cs="宋体"/>
                <w:kern w:val="0"/>
                <w:sz w:val="28"/>
                <w:szCs w:val="28"/>
              </w:rPr>
            </w:pPr>
          </w:p>
        </w:tc>
      </w:tr>
      <w:tr>
        <w:tblPrEx>
          <w:tblCellMar>
            <w:top w:w="0" w:type="dxa"/>
            <w:left w:w="108" w:type="dxa"/>
            <w:bottom w:w="0" w:type="dxa"/>
            <w:right w:w="108" w:type="dxa"/>
          </w:tblCellMar>
        </w:tblPrEx>
        <w:trPr>
          <w:trHeight w:val="270" w:hRule="atLeast"/>
        </w:trPr>
        <w:tc>
          <w:tcPr>
            <w:tcW w:w="1677" w:type="dxa"/>
            <w:tcBorders>
              <w:top w:val="nil"/>
              <w:left w:val="single" w:color="auto" w:sz="8" w:space="0"/>
              <w:bottom w:val="single" w:color="auto" w:sz="8" w:space="0"/>
              <w:right w:val="single" w:color="auto" w:sz="8" w:space="0"/>
            </w:tcBorders>
            <w:vAlign w:val="center"/>
          </w:tcPr>
          <w:p>
            <w:pPr>
              <w:spacing w:line="560" w:lineRule="exact"/>
              <w:jc w:val="center"/>
              <w:rPr>
                <w:rFonts w:cs="宋体"/>
                <w:kern w:val="0"/>
                <w:sz w:val="20"/>
                <w:szCs w:val="20"/>
              </w:rPr>
            </w:pPr>
          </w:p>
        </w:tc>
        <w:tc>
          <w:tcPr>
            <w:tcW w:w="1678" w:type="dxa"/>
            <w:tcBorders>
              <w:top w:val="nil"/>
              <w:left w:val="nil"/>
              <w:bottom w:val="single" w:color="auto" w:sz="8" w:space="0"/>
              <w:right w:val="single" w:color="auto" w:sz="8" w:space="0"/>
            </w:tcBorders>
            <w:vAlign w:val="center"/>
          </w:tcPr>
          <w:p>
            <w:pPr>
              <w:spacing w:line="560" w:lineRule="exact"/>
              <w:rPr>
                <w:rFonts w:cs="宋体"/>
                <w:kern w:val="0"/>
                <w:sz w:val="30"/>
                <w:szCs w:val="30"/>
              </w:rPr>
            </w:pPr>
            <w:r>
              <w:rPr>
                <w:rFonts w:hint="eastAsia" w:cs="宋体"/>
                <w:kern w:val="0"/>
                <w:sz w:val="30"/>
                <w:szCs w:val="30"/>
              </w:rPr>
              <w:t>　</w:t>
            </w:r>
          </w:p>
        </w:tc>
        <w:tc>
          <w:tcPr>
            <w:tcW w:w="1677" w:type="dxa"/>
            <w:tcBorders>
              <w:top w:val="nil"/>
              <w:left w:val="nil"/>
              <w:bottom w:val="single" w:color="auto" w:sz="8" w:space="0"/>
              <w:right w:val="single" w:color="auto" w:sz="8" w:space="0"/>
            </w:tcBorders>
            <w:vAlign w:val="center"/>
          </w:tcPr>
          <w:p>
            <w:pPr>
              <w:spacing w:line="560" w:lineRule="exact"/>
              <w:jc w:val="center"/>
              <w:rPr>
                <w:rFonts w:cs="宋体"/>
                <w:kern w:val="0"/>
                <w:sz w:val="30"/>
                <w:szCs w:val="30"/>
              </w:rPr>
            </w:pPr>
            <w:r>
              <w:rPr>
                <w:rFonts w:hint="eastAsia" w:cs="宋体"/>
                <w:kern w:val="0"/>
                <w:sz w:val="30"/>
                <w:szCs w:val="30"/>
              </w:rPr>
              <w:t>　</w:t>
            </w:r>
          </w:p>
        </w:tc>
        <w:tc>
          <w:tcPr>
            <w:tcW w:w="1678" w:type="dxa"/>
            <w:tcBorders>
              <w:top w:val="nil"/>
              <w:left w:val="nil"/>
              <w:bottom w:val="single" w:color="auto" w:sz="8" w:space="0"/>
              <w:right w:val="single" w:color="auto" w:sz="8" w:space="0"/>
            </w:tcBorders>
            <w:vAlign w:val="center"/>
          </w:tcPr>
          <w:p>
            <w:pPr>
              <w:spacing w:line="560" w:lineRule="exact"/>
              <w:jc w:val="center"/>
              <w:rPr>
                <w:rFonts w:cs="宋体"/>
                <w:kern w:val="0"/>
                <w:sz w:val="30"/>
                <w:szCs w:val="30"/>
              </w:rPr>
            </w:pPr>
            <w:r>
              <w:rPr>
                <w:rFonts w:hint="eastAsia" w:cs="宋体"/>
                <w:kern w:val="0"/>
                <w:sz w:val="30"/>
                <w:szCs w:val="30"/>
              </w:rPr>
              <w:t>　</w:t>
            </w:r>
          </w:p>
        </w:tc>
        <w:tc>
          <w:tcPr>
            <w:tcW w:w="1677" w:type="dxa"/>
            <w:tcBorders>
              <w:top w:val="nil"/>
              <w:left w:val="nil"/>
              <w:bottom w:val="single" w:color="auto" w:sz="8" w:space="0"/>
              <w:right w:val="single" w:color="auto" w:sz="8" w:space="0"/>
            </w:tcBorders>
            <w:vAlign w:val="center"/>
          </w:tcPr>
          <w:p>
            <w:pPr>
              <w:spacing w:line="560" w:lineRule="exact"/>
              <w:jc w:val="center"/>
              <w:rPr>
                <w:rFonts w:cs="宋体"/>
                <w:kern w:val="0"/>
                <w:sz w:val="30"/>
                <w:szCs w:val="30"/>
              </w:rPr>
            </w:pPr>
            <w:r>
              <w:rPr>
                <w:rFonts w:hint="eastAsia" w:cs="宋体"/>
                <w:kern w:val="0"/>
                <w:sz w:val="30"/>
                <w:szCs w:val="30"/>
              </w:rPr>
              <w:t>　</w:t>
            </w:r>
          </w:p>
        </w:tc>
        <w:tc>
          <w:tcPr>
            <w:tcW w:w="1678" w:type="dxa"/>
            <w:tcBorders>
              <w:top w:val="nil"/>
              <w:left w:val="nil"/>
              <w:bottom w:val="single" w:color="auto" w:sz="8" w:space="0"/>
              <w:right w:val="single" w:color="auto" w:sz="8" w:space="0"/>
            </w:tcBorders>
            <w:vAlign w:val="center"/>
          </w:tcPr>
          <w:p>
            <w:pPr>
              <w:spacing w:line="560" w:lineRule="exact"/>
              <w:jc w:val="center"/>
              <w:rPr>
                <w:rFonts w:cs="宋体"/>
                <w:kern w:val="0"/>
                <w:sz w:val="30"/>
                <w:szCs w:val="30"/>
              </w:rPr>
            </w:pPr>
            <w:r>
              <w:rPr>
                <w:rFonts w:hint="eastAsia" w:cs="宋体"/>
                <w:kern w:val="0"/>
                <w:sz w:val="30"/>
                <w:szCs w:val="30"/>
              </w:rPr>
              <w:t>　</w:t>
            </w:r>
          </w:p>
        </w:tc>
      </w:tr>
    </w:tbl>
    <w:p>
      <w:pPr>
        <w:spacing w:before="240" w:line="560" w:lineRule="exact"/>
        <w:rPr>
          <w:rFonts w:eastAsia="楷体_GB2312"/>
          <w:bCs/>
          <w:sz w:val="28"/>
          <w:szCs w:val="30"/>
        </w:rPr>
      </w:pPr>
      <w:r>
        <w:rPr>
          <w:rFonts w:hint="eastAsia" w:eastAsia="楷体_GB2312"/>
          <w:bCs/>
          <w:sz w:val="28"/>
          <w:szCs w:val="30"/>
        </w:rPr>
        <w:t>填报人：</w:t>
      </w:r>
      <w:r>
        <w:rPr>
          <w:rFonts w:hint="eastAsia" w:eastAsia="楷体_GB2312"/>
          <w:bCs/>
          <w:sz w:val="28"/>
          <w:szCs w:val="30"/>
          <w:u w:val="single"/>
        </w:rPr>
        <w:t xml:space="preserve">                  </w:t>
      </w:r>
      <w:r>
        <w:rPr>
          <w:rFonts w:hint="eastAsia" w:eastAsia="楷体_GB2312"/>
          <w:bCs/>
          <w:sz w:val="28"/>
          <w:szCs w:val="30"/>
        </w:rPr>
        <w:t xml:space="preserve">               分管负责人：</w:t>
      </w:r>
      <w:r>
        <w:rPr>
          <w:rFonts w:hint="eastAsia" w:eastAsia="楷体_GB2312"/>
          <w:bCs/>
          <w:sz w:val="28"/>
          <w:szCs w:val="30"/>
          <w:u w:val="single"/>
        </w:rPr>
        <w:t xml:space="preserve">           </w:t>
      </w:r>
    </w:p>
    <w:p>
      <w:pPr>
        <w:spacing w:line="560" w:lineRule="exact"/>
        <w:rPr>
          <w:bCs/>
          <w:sz w:val="28"/>
          <w:szCs w:val="32"/>
        </w:rPr>
        <w:sectPr>
          <w:pgSz w:w="11906" w:h="16838"/>
          <w:pgMar w:top="1440" w:right="1800" w:bottom="1440" w:left="1800" w:header="851" w:footer="992" w:gutter="0"/>
          <w:cols w:space="720" w:num="1"/>
          <w:docGrid w:type="lines" w:linePitch="312" w:charSpace="0"/>
        </w:sectPr>
      </w:pPr>
    </w:p>
    <w:p>
      <w:pPr>
        <w:adjustRightInd w:val="0"/>
        <w:snapToGrid w:val="0"/>
        <w:spacing w:line="440" w:lineRule="exact"/>
        <w:jc w:val="left"/>
        <w:rPr>
          <w:rFonts w:eastAsia="黑体"/>
          <w:sz w:val="32"/>
          <w:szCs w:val="32"/>
        </w:rPr>
      </w:pPr>
      <w:r>
        <w:rPr>
          <w:rFonts w:eastAsia="黑体"/>
          <w:sz w:val="32"/>
          <w:szCs w:val="32"/>
        </w:rPr>
        <w:t>附件</w:t>
      </w:r>
      <w:r>
        <w:rPr>
          <w:rFonts w:hint="eastAsia" w:eastAsia="黑体"/>
          <w:sz w:val="32"/>
          <w:szCs w:val="32"/>
        </w:rPr>
        <w:t>4</w:t>
      </w:r>
    </w:p>
    <w:p>
      <w:pPr>
        <w:spacing w:line="560" w:lineRule="exact"/>
        <w:jc w:val="center"/>
        <w:rPr>
          <w:rFonts w:eastAsia="方正小标宋简体"/>
          <w:sz w:val="44"/>
        </w:rPr>
      </w:pPr>
    </w:p>
    <w:p>
      <w:pPr>
        <w:spacing w:line="56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rPr>
        <w:t>餐饮场所“瓶改管”集中改造工作</w:t>
      </w:r>
      <w:r>
        <w:rPr>
          <w:rFonts w:hint="eastAsia" w:ascii="方正小标宋简体" w:hAnsi="方正小标宋简体" w:eastAsia="方正小标宋简体" w:cs="方正小标宋简体"/>
          <w:sz w:val="44"/>
          <w:szCs w:val="32"/>
        </w:rPr>
        <w:t>进度明细</w:t>
      </w:r>
      <w:r>
        <w:rPr>
          <w:rFonts w:hint="eastAsia" w:ascii="方正小标宋简体" w:hAnsi="方正小标宋简体" w:eastAsia="方正小标宋简体" w:cs="方正小标宋简体"/>
          <w:sz w:val="44"/>
          <w:szCs w:val="44"/>
        </w:rPr>
        <w:t>表</w:t>
      </w:r>
    </w:p>
    <w:p>
      <w:pPr>
        <w:snapToGrid w:val="0"/>
        <w:spacing w:line="560" w:lineRule="exact"/>
        <w:ind w:right="-624" w:rightChars="-297" w:firstLine="420" w:firstLineChars="150"/>
        <w:jc w:val="left"/>
        <w:rPr>
          <w:rFonts w:eastAsia="微软雅黑" w:cs="宋体"/>
          <w:bCs/>
          <w:kern w:val="0"/>
          <w:sz w:val="24"/>
          <w:u w:val="single"/>
        </w:rPr>
      </w:pPr>
      <w:r>
        <w:rPr>
          <w:rFonts w:hint="eastAsia" w:eastAsia="楷体_GB2312"/>
          <w:bCs/>
          <w:sz w:val="28"/>
        </w:rPr>
        <w:t>填报办事处（综合服务办）：</w:t>
      </w:r>
      <w:r>
        <w:rPr>
          <w:rFonts w:hint="eastAsia" w:eastAsia="仿宋_GB2312"/>
          <w:bCs/>
          <w:sz w:val="32"/>
          <w:u w:val="single"/>
        </w:rPr>
        <w:t xml:space="preserve">               </w:t>
      </w:r>
      <w:r>
        <w:rPr>
          <w:rFonts w:hint="eastAsia" w:eastAsia="楷体_GB2312"/>
          <w:bCs/>
          <w:sz w:val="28"/>
        </w:rPr>
        <w:t xml:space="preserve">                         填报日期：</w:t>
      </w:r>
      <w:r>
        <w:rPr>
          <w:rFonts w:hint="eastAsia" w:eastAsia="仿宋_GB2312"/>
          <w:bCs/>
          <w:sz w:val="32"/>
          <w:u w:val="single"/>
        </w:rPr>
        <w:t xml:space="preserve">          </w:t>
      </w:r>
      <w:r>
        <w:rPr>
          <w:rFonts w:hint="eastAsia" w:eastAsia="仿宋_GB2312" w:cs="宋体"/>
          <w:bCs/>
          <w:kern w:val="0"/>
          <w:sz w:val="28"/>
          <w:u w:val="single"/>
        </w:rPr>
        <w:t xml:space="preserve">      </w:t>
      </w:r>
    </w:p>
    <w:tbl>
      <w:tblPr>
        <w:tblStyle w:val="19"/>
        <w:tblW w:w="51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772"/>
        <w:gridCol w:w="3788"/>
        <w:gridCol w:w="1395"/>
        <w:gridCol w:w="1507"/>
        <w:gridCol w:w="1507"/>
        <w:gridCol w:w="1507"/>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852" w:type="dxa"/>
            <w:shd w:val="clear" w:color="auto" w:fill="auto"/>
            <w:vAlign w:val="center"/>
          </w:tcPr>
          <w:p>
            <w:pPr>
              <w:snapToGrid w:val="0"/>
              <w:spacing w:line="440" w:lineRule="exact"/>
              <w:jc w:val="center"/>
              <w:rPr>
                <w:rFonts w:eastAsia="仿宋_GB2312"/>
                <w:kern w:val="0"/>
                <w:sz w:val="28"/>
                <w:szCs w:val="28"/>
              </w:rPr>
            </w:pPr>
            <w:r>
              <w:rPr>
                <w:rFonts w:hint="eastAsia" w:eastAsia="仿宋_GB2312"/>
                <w:kern w:val="0"/>
                <w:sz w:val="28"/>
                <w:szCs w:val="28"/>
              </w:rPr>
              <w:t>序号</w:t>
            </w:r>
          </w:p>
        </w:tc>
        <w:tc>
          <w:tcPr>
            <w:tcW w:w="2772" w:type="dxa"/>
            <w:shd w:val="clear" w:color="auto" w:fill="auto"/>
            <w:vAlign w:val="center"/>
          </w:tcPr>
          <w:p>
            <w:pPr>
              <w:snapToGrid w:val="0"/>
              <w:spacing w:line="440" w:lineRule="exact"/>
              <w:jc w:val="center"/>
              <w:rPr>
                <w:rFonts w:eastAsia="仿宋_GB2312"/>
                <w:kern w:val="0"/>
                <w:sz w:val="28"/>
                <w:szCs w:val="28"/>
              </w:rPr>
            </w:pPr>
            <w:r>
              <w:rPr>
                <w:rFonts w:hint="eastAsia" w:eastAsia="仿宋_GB2312" w:cs="宋体"/>
                <w:kern w:val="0"/>
                <w:sz w:val="28"/>
              </w:rPr>
              <w:t>餐饮名称</w:t>
            </w:r>
          </w:p>
        </w:tc>
        <w:tc>
          <w:tcPr>
            <w:tcW w:w="3788" w:type="dxa"/>
            <w:shd w:val="clear" w:color="auto" w:fill="auto"/>
            <w:vAlign w:val="center"/>
          </w:tcPr>
          <w:p>
            <w:pPr>
              <w:snapToGrid w:val="0"/>
              <w:spacing w:line="440" w:lineRule="exact"/>
              <w:jc w:val="center"/>
              <w:rPr>
                <w:rFonts w:eastAsia="仿宋_GB2312"/>
                <w:kern w:val="0"/>
                <w:sz w:val="28"/>
                <w:szCs w:val="28"/>
              </w:rPr>
            </w:pPr>
            <w:r>
              <w:rPr>
                <w:rFonts w:hint="eastAsia" w:eastAsia="仿宋_GB2312" w:cs="宋体"/>
                <w:kern w:val="0"/>
                <w:sz w:val="28"/>
              </w:rPr>
              <w:t>地址</w:t>
            </w:r>
          </w:p>
        </w:tc>
        <w:tc>
          <w:tcPr>
            <w:tcW w:w="1395" w:type="dxa"/>
            <w:shd w:val="clear" w:color="auto" w:fill="auto"/>
            <w:vAlign w:val="center"/>
          </w:tcPr>
          <w:p>
            <w:pPr>
              <w:adjustRightInd w:val="0"/>
              <w:snapToGrid w:val="0"/>
              <w:spacing w:line="440" w:lineRule="exact"/>
              <w:jc w:val="center"/>
              <w:rPr>
                <w:rFonts w:eastAsia="仿宋_GB2312"/>
                <w:kern w:val="0"/>
                <w:sz w:val="28"/>
                <w:szCs w:val="28"/>
              </w:rPr>
            </w:pPr>
            <w:r>
              <w:rPr>
                <w:rFonts w:hint="eastAsia" w:eastAsia="仿宋_GB2312" w:cs="宋体"/>
                <w:kern w:val="0"/>
                <w:sz w:val="28"/>
              </w:rPr>
              <w:t>宣传动员时间</w:t>
            </w:r>
          </w:p>
        </w:tc>
        <w:tc>
          <w:tcPr>
            <w:tcW w:w="1507" w:type="dxa"/>
            <w:shd w:val="clear" w:color="auto" w:fill="auto"/>
            <w:vAlign w:val="center"/>
          </w:tcPr>
          <w:p>
            <w:pPr>
              <w:snapToGrid w:val="0"/>
              <w:spacing w:line="440" w:lineRule="exact"/>
              <w:jc w:val="center"/>
              <w:rPr>
                <w:rFonts w:eastAsia="仿宋_GB2312"/>
                <w:kern w:val="0"/>
                <w:sz w:val="28"/>
                <w:szCs w:val="28"/>
              </w:rPr>
            </w:pPr>
            <w:r>
              <w:rPr>
                <w:rFonts w:hint="eastAsia" w:eastAsia="仿宋_GB2312"/>
                <w:kern w:val="0"/>
                <w:sz w:val="28"/>
                <w:szCs w:val="28"/>
              </w:rPr>
              <w:t>“瓶改管”</w:t>
            </w:r>
          </w:p>
          <w:p>
            <w:pPr>
              <w:snapToGrid w:val="0"/>
              <w:spacing w:line="440" w:lineRule="exact"/>
              <w:jc w:val="center"/>
              <w:rPr>
                <w:rFonts w:eastAsia="仿宋_GB2312"/>
                <w:kern w:val="0"/>
                <w:sz w:val="28"/>
                <w:szCs w:val="28"/>
              </w:rPr>
            </w:pPr>
            <w:r>
              <w:rPr>
                <w:rFonts w:hint="eastAsia" w:eastAsia="仿宋_GB2312"/>
                <w:kern w:val="0"/>
                <w:sz w:val="28"/>
                <w:szCs w:val="28"/>
              </w:rPr>
              <w:t>签约时间</w:t>
            </w:r>
          </w:p>
        </w:tc>
        <w:tc>
          <w:tcPr>
            <w:tcW w:w="1507" w:type="dxa"/>
            <w:shd w:val="clear" w:color="auto" w:fill="auto"/>
            <w:vAlign w:val="center"/>
          </w:tcPr>
          <w:p>
            <w:pPr>
              <w:snapToGrid w:val="0"/>
              <w:spacing w:line="440" w:lineRule="exact"/>
              <w:jc w:val="center"/>
              <w:rPr>
                <w:rFonts w:eastAsia="仿宋_GB2312"/>
                <w:kern w:val="0"/>
                <w:sz w:val="28"/>
                <w:szCs w:val="28"/>
              </w:rPr>
            </w:pPr>
            <w:r>
              <w:rPr>
                <w:rFonts w:hint="eastAsia" w:eastAsia="仿宋_GB2312"/>
                <w:kern w:val="0"/>
                <w:sz w:val="28"/>
                <w:szCs w:val="28"/>
              </w:rPr>
              <w:t>“瓶改管”施工时间</w:t>
            </w:r>
          </w:p>
        </w:tc>
        <w:tc>
          <w:tcPr>
            <w:tcW w:w="1507" w:type="dxa"/>
            <w:shd w:val="clear" w:color="auto" w:fill="auto"/>
            <w:vAlign w:val="center"/>
          </w:tcPr>
          <w:p>
            <w:pPr>
              <w:snapToGrid w:val="0"/>
              <w:spacing w:line="440" w:lineRule="exact"/>
              <w:jc w:val="center"/>
              <w:rPr>
                <w:rFonts w:eastAsia="仿宋_GB2312"/>
                <w:kern w:val="0"/>
                <w:sz w:val="28"/>
                <w:szCs w:val="28"/>
              </w:rPr>
            </w:pPr>
            <w:r>
              <w:rPr>
                <w:rFonts w:hint="eastAsia" w:eastAsia="仿宋_GB2312"/>
                <w:kern w:val="0"/>
                <w:sz w:val="28"/>
                <w:szCs w:val="28"/>
              </w:rPr>
              <w:t>“瓶改管”通气时间</w:t>
            </w:r>
          </w:p>
        </w:tc>
        <w:tc>
          <w:tcPr>
            <w:tcW w:w="1164" w:type="dxa"/>
            <w:shd w:val="clear" w:color="auto" w:fill="auto"/>
            <w:vAlign w:val="center"/>
          </w:tcPr>
          <w:p>
            <w:pPr>
              <w:snapToGrid w:val="0"/>
              <w:spacing w:line="440" w:lineRule="exact"/>
              <w:jc w:val="center"/>
              <w:rPr>
                <w:rFonts w:eastAsia="仿宋_GB2312"/>
                <w:kern w:val="0"/>
                <w:sz w:val="28"/>
                <w:szCs w:val="28"/>
              </w:rPr>
            </w:pPr>
            <w:r>
              <w:rPr>
                <w:rFonts w:hint="eastAsia" w:eastAsia="仿宋_GB2312"/>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shd w:val="clear" w:color="auto" w:fill="auto"/>
            <w:vAlign w:val="center"/>
          </w:tcPr>
          <w:p>
            <w:pPr>
              <w:spacing w:line="560" w:lineRule="exact"/>
              <w:jc w:val="center"/>
              <w:rPr>
                <w:kern w:val="0"/>
                <w:sz w:val="30"/>
                <w:szCs w:val="30"/>
              </w:rPr>
            </w:pPr>
          </w:p>
        </w:tc>
        <w:tc>
          <w:tcPr>
            <w:tcW w:w="2772" w:type="dxa"/>
            <w:shd w:val="clear" w:color="auto" w:fill="auto"/>
            <w:vAlign w:val="center"/>
          </w:tcPr>
          <w:p>
            <w:pPr>
              <w:spacing w:line="560" w:lineRule="exact"/>
              <w:jc w:val="center"/>
              <w:rPr>
                <w:rFonts w:eastAsia="微软雅黑" w:cs="宋体"/>
                <w:kern w:val="0"/>
                <w:sz w:val="28"/>
              </w:rPr>
            </w:pPr>
          </w:p>
        </w:tc>
        <w:tc>
          <w:tcPr>
            <w:tcW w:w="3788" w:type="dxa"/>
            <w:shd w:val="clear" w:color="auto" w:fill="auto"/>
            <w:vAlign w:val="center"/>
          </w:tcPr>
          <w:p>
            <w:pPr>
              <w:spacing w:line="560" w:lineRule="exact"/>
              <w:jc w:val="center"/>
              <w:rPr>
                <w:rFonts w:eastAsia="微软雅黑" w:cs="宋体"/>
                <w:kern w:val="0"/>
                <w:sz w:val="28"/>
              </w:rPr>
            </w:pPr>
          </w:p>
        </w:tc>
        <w:tc>
          <w:tcPr>
            <w:tcW w:w="1395" w:type="dxa"/>
            <w:shd w:val="clear" w:color="auto" w:fill="auto"/>
            <w:vAlign w:val="center"/>
          </w:tcPr>
          <w:p>
            <w:pPr>
              <w:spacing w:line="560" w:lineRule="exact"/>
              <w:jc w:val="center"/>
              <w:rPr>
                <w:rFonts w:eastAsia="微软雅黑" w:cs="宋体"/>
                <w:kern w:val="0"/>
                <w:sz w:val="28"/>
              </w:rPr>
            </w:pPr>
          </w:p>
        </w:tc>
        <w:tc>
          <w:tcPr>
            <w:tcW w:w="1507" w:type="dxa"/>
            <w:shd w:val="clear" w:color="auto" w:fill="auto"/>
            <w:vAlign w:val="center"/>
          </w:tcPr>
          <w:p>
            <w:pPr>
              <w:spacing w:line="560" w:lineRule="exact"/>
              <w:jc w:val="center"/>
              <w:rPr>
                <w:kern w:val="0"/>
                <w:sz w:val="30"/>
                <w:szCs w:val="30"/>
              </w:rPr>
            </w:pPr>
          </w:p>
        </w:tc>
        <w:tc>
          <w:tcPr>
            <w:tcW w:w="1507" w:type="dxa"/>
            <w:shd w:val="clear" w:color="auto" w:fill="auto"/>
            <w:vAlign w:val="center"/>
          </w:tcPr>
          <w:p>
            <w:pPr>
              <w:spacing w:line="560" w:lineRule="exact"/>
              <w:jc w:val="center"/>
              <w:rPr>
                <w:kern w:val="0"/>
                <w:sz w:val="30"/>
                <w:szCs w:val="30"/>
              </w:rPr>
            </w:pPr>
          </w:p>
        </w:tc>
        <w:tc>
          <w:tcPr>
            <w:tcW w:w="1507" w:type="dxa"/>
            <w:shd w:val="clear" w:color="auto" w:fill="auto"/>
            <w:vAlign w:val="center"/>
          </w:tcPr>
          <w:p>
            <w:pPr>
              <w:spacing w:line="560" w:lineRule="exact"/>
              <w:jc w:val="center"/>
              <w:rPr>
                <w:kern w:val="0"/>
                <w:sz w:val="30"/>
                <w:szCs w:val="30"/>
              </w:rPr>
            </w:pPr>
          </w:p>
        </w:tc>
        <w:tc>
          <w:tcPr>
            <w:tcW w:w="1164" w:type="dxa"/>
            <w:shd w:val="clear" w:color="auto" w:fill="auto"/>
            <w:vAlign w:val="center"/>
          </w:tcPr>
          <w:p>
            <w:pPr>
              <w:spacing w:line="560" w:lineRule="exact"/>
              <w:jc w:val="center"/>
              <w:rPr>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shd w:val="clear" w:color="auto" w:fill="auto"/>
            <w:vAlign w:val="center"/>
          </w:tcPr>
          <w:p>
            <w:pPr>
              <w:spacing w:line="560" w:lineRule="exact"/>
              <w:jc w:val="center"/>
              <w:rPr>
                <w:kern w:val="0"/>
                <w:sz w:val="30"/>
                <w:szCs w:val="30"/>
              </w:rPr>
            </w:pPr>
          </w:p>
        </w:tc>
        <w:tc>
          <w:tcPr>
            <w:tcW w:w="2772" w:type="dxa"/>
            <w:shd w:val="clear" w:color="auto" w:fill="auto"/>
            <w:vAlign w:val="center"/>
          </w:tcPr>
          <w:p>
            <w:pPr>
              <w:spacing w:line="560" w:lineRule="exact"/>
              <w:jc w:val="center"/>
              <w:rPr>
                <w:rFonts w:eastAsia="微软雅黑" w:cs="宋体"/>
                <w:kern w:val="0"/>
                <w:sz w:val="28"/>
              </w:rPr>
            </w:pPr>
          </w:p>
        </w:tc>
        <w:tc>
          <w:tcPr>
            <w:tcW w:w="3788" w:type="dxa"/>
            <w:shd w:val="clear" w:color="auto" w:fill="auto"/>
            <w:vAlign w:val="center"/>
          </w:tcPr>
          <w:p>
            <w:pPr>
              <w:spacing w:line="560" w:lineRule="exact"/>
              <w:jc w:val="center"/>
              <w:rPr>
                <w:rFonts w:eastAsia="微软雅黑" w:cs="宋体"/>
                <w:kern w:val="0"/>
                <w:sz w:val="28"/>
              </w:rPr>
            </w:pPr>
          </w:p>
        </w:tc>
        <w:tc>
          <w:tcPr>
            <w:tcW w:w="1395" w:type="dxa"/>
            <w:shd w:val="clear" w:color="auto" w:fill="auto"/>
            <w:vAlign w:val="center"/>
          </w:tcPr>
          <w:p>
            <w:pPr>
              <w:spacing w:line="560" w:lineRule="exact"/>
              <w:jc w:val="center"/>
              <w:rPr>
                <w:rFonts w:eastAsia="微软雅黑" w:cs="宋体"/>
                <w:kern w:val="0"/>
                <w:sz w:val="28"/>
              </w:rPr>
            </w:pPr>
          </w:p>
        </w:tc>
        <w:tc>
          <w:tcPr>
            <w:tcW w:w="1507" w:type="dxa"/>
            <w:shd w:val="clear" w:color="auto" w:fill="auto"/>
            <w:vAlign w:val="center"/>
          </w:tcPr>
          <w:p>
            <w:pPr>
              <w:spacing w:line="560" w:lineRule="exact"/>
              <w:jc w:val="center"/>
              <w:rPr>
                <w:kern w:val="0"/>
                <w:sz w:val="30"/>
                <w:szCs w:val="30"/>
              </w:rPr>
            </w:pPr>
          </w:p>
        </w:tc>
        <w:tc>
          <w:tcPr>
            <w:tcW w:w="1507" w:type="dxa"/>
            <w:shd w:val="clear" w:color="auto" w:fill="auto"/>
            <w:vAlign w:val="center"/>
          </w:tcPr>
          <w:p>
            <w:pPr>
              <w:spacing w:line="560" w:lineRule="exact"/>
              <w:jc w:val="center"/>
              <w:rPr>
                <w:kern w:val="0"/>
                <w:sz w:val="30"/>
                <w:szCs w:val="30"/>
              </w:rPr>
            </w:pPr>
          </w:p>
        </w:tc>
        <w:tc>
          <w:tcPr>
            <w:tcW w:w="1507" w:type="dxa"/>
            <w:shd w:val="clear" w:color="auto" w:fill="auto"/>
            <w:vAlign w:val="center"/>
          </w:tcPr>
          <w:p>
            <w:pPr>
              <w:spacing w:line="560" w:lineRule="exact"/>
              <w:jc w:val="center"/>
              <w:rPr>
                <w:kern w:val="0"/>
                <w:sz w:val="30"/>
                <w:szCs w:val="30"/>
              </w:rPr>
            </w:pPr>
          </w:p>
        </w:tc>
        <w:tc>
          <w:tcPr>
            <w:tcW w:w="1164" w:type="dxa"/>
            <w:shd w:val="clear" w:color="auto" w:fill="auto"/>
            <w:vAlign w:val="center"/>
          </w:tcPr>
          <w:p>
            <w:pPr>
              <w:spacing w:line="560" w:lineRule="exact"/>
              <w:jc w:val="center"/>
              <w:rPr>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shd w:val="clear" w:color="auto" w:fill="auto"/>
            <w:vAlign w:val="center"/>
          </w:tcPr>
          <w:p>
            <w:pPr>
              <w:spacing w:line="560" w:lineRule="exact"/>
              <w:jc w:val="center"/>
              <w:rPr>
                <w:kern w:val="0"/>
                <w:sz w:val="30"/>
                <w:szCs w:val="30"/>
              </w:rPr>
            </w:pPr>
          </w:p>
        </w:tc>
        <w:tc>
          <w:tcPr>
            <w:tcW w:w="2772" w:type="dxa"/>
            <w:shd w:val="clear" w:color="auto" w:fill="auto"/>
            <w:vAlign w:val="center"/>
          </w:tcPr>
          <w:p>
            <w:pPr>
              <w:spacing w:line="560" w:lineRule="exact"/>
              <w:jc w:val="center"/>
              <w:rPr>
                <w:rFonts w:eastAsia="微软雅黑" w:cs="宋体"/>
                <w:kern w:val="0"/>
                <w:sz w:val="28"/>
              </w:rPr>
            </w:pPr>
          </w:p>
        </w:tc>
        <w:tc>
          <w:tcPr>
            <w:tcW w:w="3788" w:type="dxa"/>
            <w:shd w:val="clear" w:color="auto" w:fill="auto"/>
            <w:vAlign w:val="center"/>
          </w:tcPr>
          <w:p>
            <w:pPr>
              <w:spacing w:line="560" w:lineRule="exact"/>
              <w:jc w:val="center"/>
              <w:rPr>
                <w:rFonts w:eastAsia="微软雅黑" w:cs="宋体"/>
                <w:kern w:val="0"/>
                <w:sz w:val="28"/>
              </w:rPr>
            </w:pPr>
          </w:p>
        </w:tc>
        <w:tc>
          <w:tcPr>
            <w:tcW w:w="1395" w:type="dxa"/>
            <w:shd w:val="clear" w:color="auto" w:fill="auto"/>
            <w:vAlign w:val="center"/>
          </w:tcPr>
          <w:p>
            <w:pPr>
              <w:spacing w:line="560" w:lineRule="exact"/>
              <w:jc w:val="center"/>
              <w:rPr>
                <w:rFonts w:eastAsia="微软雅黑" w:cs="宋体"/>
                <w:kern w:val="0"/>
                <w:sz w:val="28"/>
              </w:rPr>
            </w:pPr>
          </w:p>
        </w:tc>
        <w:tc>
          <w:tcPr>
            <w:tcW w:w="1507" w:type="dxa"/>
            <w:shd w:val="clear" w:color="auto" w:fill="auto"/>
            <w:vAlign w:val="center"/>
          </w:tcPr>
          <w:p>
            <w:pPr>
              <w:spacing w:line="560" w:lineRule="exact"/>
              <w:jc w:val="center"/>
              <w:rPr>
                <w:kern w:val="0"/>
                <w:sz w:val="30"/>
                <w:szCs w:val="30"/>
              </w:rPr>
            </w:pPr>
          </w:p>
        </w:tc>
        <w:tc>
          <w:tcPr>
            <w:tcW w:w="1507" w:type="dxa"/>
            <w:shd w:val="clear" w:color="auto" w:fill="auto"/>
            <w:vAlign w:val="center"/>
          </w:tcPr>
          <w:p>
            <w:pPr>
              <w:spacing w:line="560" w:lineRule="exact"/>
              <w:jc w:val="center"/>
              <w:rPr>
                <w:kern w:val="0"/>
                <w:sz w:val="30"/>
                <w:szCs w:val="30"/>
              </w:rPr>
            </w:pPr>
          </w:p>
        </w:tc>
        <w:tc>
          <w:tcPr>
            <w:tcW w:w="1507" w:type="dxa"/>
            <w:shd w:val="clear" w:color="auto" w:fill="auto"/>
            <w:vAlign w:val="center"/>
          </w:tcPr>
          <w:p>
            <w:pPr>
              <w:spacing w:line="560" w:lineRule="exact"/>
              <w:jc w:val="center"/>
              <w:rPr>
                <w:kern w:val="0"/>
                <w:sz w:val="30"/>
                <w:szCs w:val="30"/>
              </w:rPr>
            </w:pPr>
          </w:p>
        </w:tc>
        <w:tc>
          <w:tcPr>
            <w:tcW w:w="1164" w:type="dxa"/>
            <w:shd w:val="clear" w:color="auto" w:fill="auto"/>
            <w:vAlign w:val="center"/>
          </w:tcPr>
          <w:p>
            <w:pPr>
              <w:spacing w:line="560" w:lineRule="exact"/>
              <w:jc w:val="center"/>
              <w:rPr>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shd w:val="clear" w:color="auto" w:fill="auto"/>
            <w:vAlign w:val="center"/>
          </w:tcPr>
          <w:p>
            <w:pPr>
              <w:spacing w:line="560" w:lineRule="exact"/>
              <w:jc w:val="center"/>
              <w:rPr>
                <w:kern w:val="0"/>
                <w:sz w:val="30"/>
                <w:szCs w:val="30"/>
              </w:rPr>
            </w:pPr>
          </w:p>
        </w:tc>
        <w:tc>
          <w:tcPr>
            <w:tcW w:w="2772" w:type="dxa"/>
            <w:shd w:val="clear" w:color="auto" w:fill="auto"/>
            <w:vAlign w:val="center"/>
          </w:tcPr>
          <w:p>
            <w:pPr>
              <w:spacing w:line="560" w:lineRule="exact"/>
              <w:jc w:val="center"/>
              <w:rPr>
                <w:rFonts w:eastAsia="微软雅黑" w:cs="宋体"/>
                <w:kern w:val="0"/>
                <w:sz w:val="28"/>
              </w:rPr>
            </w:pPr>
          </w:p>
        </w:tc>
        <w:tc>
          <w:tcPr>
            <w:tcW w:w="3788" w:type="dxa"/>
            <w:shd w:val="clear" w:color="auto" w:fill="auto"/>
            <w:vAlign w:val="center"/>
          </w:tcPr>
          <w:p>
            <w:pPr>
              <w:spacing w:line="560" w:lineRule="exact"/>
              <w:jc w:val="center"/>
              <w:rPr>
                <w:rFonts w:eastAsia="微软雅黑" w:cs="宋体"/>
                <w:kern w:val="0"/>
                <w:sz w:val="28"/>
              </w:rPr>
            </w:pPr>
          </w:p>
        </w:tc>
        <w:tc>
          <w:tcPr>
            <w:tcW w:w="1395" w:type="dxa"/>
            <w:shd w:val="clear" w:color="auto" w:fill="auto"/>
            <w:vAlign w:val="center"/>
          </w:tcPr>
          <w:p>
            <w:pPr>
              <w:spacing w:line="560" w:lineRule="exact"/>
              <w:jc w:val="center"/>
              <w:rPr>
                <w:rFonts w:eastAsia="微软雅黑" w:cs="宋体"/>
                <w:kern w:val="0"/>
                <w:sz w:val="28"/>
              </w:rPr>
            </w:pPr>
          </w:p>
        </w:tc>
        <w:tc>
          <w:tcPr>
            <w:tcW w:w="1507" w:type="dxa"/>
            <w:shd w:val="clear" w:color="auto" w:fill="auto"/>
            <w:vAlign w:val="center"/>
          </w:tcPr>
          <w:p>
            <w:pPr>
              <w:spacing w:line="560" w:lineRule="exact"/>
              <w:jc w:val="center"/>
              <w:rPr>
                <w:kern w:val="0"/>
                <w:sz w:val="30"/>
                <w:szCs w:val="30"/>
              </w:rPr>
            </w:pPr>
          </w:p>
        </w:tc>
        <w:tc>
          <w:tcPr>
            <w:tcW w:w="1507" w:type="dxa"/>
            <w:shd w:val="clear" w:color="auto" w:fill="auto"/>
            <w:vAlign w:val="center"/>
          </w:tcPr>
          <w:p>
            <w:pPr>
              <w:spacing w:line="560" w:lineRule="exact"/>
              <w:jc w:val="center"/>
              <w:rPr>
                <w:kern w:val="0"/>
                <w:sz w:val="30"/>
                <w:szCs w:val="30"/>
              </w:rPr>
            </w:pPr>
          </w:p>
        </w:tc>
        <w:tc>
          <w:tcPr>
            <w:tcW w:w="1507" w:type="dxa"/>
            <w:shd w:val="clear" w:color="auto" w:fill="auto"/>
            <w:vAlign w:val="center"/>
          </w:tcPr>
          <w:p>
            <w:pPr>
              <w:spacing w:line="560" w:lineRule="exact"/>
              <w:jc w:val="center"/>
              <w:rPr>
                <w:kern w:val="0"/>
                <w:sz w:val="30"/>
                <w:szCs w:val="30"/>
              </w:rPr>
            </w:pPr>
          </w:p>
        </w:tc>
        <w:tc>
          <w:tcPr>
            <w:tcW w:w="1164" w:type="dxa"/>
            <w:shd w:val="clear" w:color="auto" w:fill="auto"/>
            <w:vAlign w:val="center"/>
          </w:tcPr>
          <w:p>
            <w:pPr>
              <w:spacing w:line="560" w:lineRule="exact"/>
              <w:jc w:val="center"/>
              <w:rPr>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shd w:val="clear" w:color="auto" w:fill="auto"/>
            <w:vAlign w:val="center"/>
          </w:tcPr>
          <w:p>
            <w:pPr>
              <w:spacing w:line="560" w:lineRule="exact"/>
              <w:jc w:val="center"/>
              <w:rPr>
                <w:kern w:val="0"/>
                <w:sz w:val="30"/>
                <w:szCs w:val="30"/>
              </w:rPr>
            </w:pPr>
          </w:p>
        </w:tc>
        <w:tc>
          <w:tcPr>
            <w:tcW w:w="2772" w:type="dxa"/>
            <w:shd w:val="clear" w:color="auto" w:fill="auto"/>
            <w:vAlign w:val="center"/>
          </w:tcPr>
          <w:p>
            <w:pPr>
              <w:spacing w:line="560" w:lineRule="exact"/>
              <w:jc w:val="center"/>
              <w:rPr>
                <w:rFonts w:eastAsia="微软雅黑" w:cs="宋体"/>
                <w:kern w:val="0"/>
                <w:sz w:val="28"/>
              </w:rPr>
            </w:pPr>
          </w:p>
        </w:tc>
        <w:tc>
          <w:tcPr>
            <w:tcW w:w="3788" w:type="dxa"/>
            <w:shd w:val="clear" w:color="auto" w:fill="auto"/>
            <w:vAlign w:val="center"/>
          </w:tcPr>
          <w:p>
            <w:pPr>
              <w:spacing w:line="560" w:lineRule="exact"/>
              <w:jc w:val="center"/>
              <w:rPr>
                <w:rFonts w:eastAsia="微软雅黑" w:cs="宋体"/>
                <w:kern w:val="0"/>
                <w:sz w:val="28"/>
              </w:rPr>
            </w:pPr>
          </w:p>
        </w:tc>
        <w:tc>
          <w:tcPr>
            <w:tcW w:w="1395" w:type="dxa"/>
            <w:shd w:val="clear" w:color="auto" w:fill="auto"/>
            <w:vAlign w:val="center"/>
          </w:tcPr>
          <w:p>
            <w:pPr>
              <w:spacing w:line="560" w:lineRule="exact"/>
              <w:jc w:val="center"/>
              <w:rPr>
                <w:rFonts w:eastAsia="微软雅黑" w:cs="宋体"/>
                <w:kern w:val="0"/>
                <w:sz w:val="28"/>
              </w:rPr>
            </w:pPr>
          </w:p>
        </w:tc>
        <w:tc>
          <w:tcPr>
            <w:tcW w:w="1507" w:type="dxa"/>
            <w:shd w:val="clear" w:color="auto" w:fill="auto"/>
            <w:vAlign w:val="center"/>
          </w:tcPr>
          <w:p>
            <w:pPr>
              <w:spacing w:line="560" w:lineRule="exact"/>
              <w:jc w:val="center"/>
              <w:rPr>
                <w:kern w:val="0"/>
                <w:sz w:val="30"/>
                <w:szCs w:val="30"/>
              </w:rPr>
            </w:pPr>
          </w:p>
        </w:tc>
        <w:tc>
          <w:tcPr>
            <w:tcW w:w="1507" w:type="dxa"/>
            <w:shd w:val="clear" w:color="auto" w:fill="auto"/>
            <w:vAlign w:val="center"/>
          </w:tcPr>
          <w:p>
            <w:pPr>
              <w:spacing w:line="560" w:lineRule="exact"/>
              <w:jc w:val="center"/>
              <w:rPr>
                <w:kern w:val="0"/>
                <w:sz w:val="30"/>
                <w:szCs w:val="30"/>
              </w:rPr>
            </w:pPr>
          </w:p>
        </w:tc>
        <w:tc>
          <w:tcPr>
            <w:tcW w:w="1507" w:type="dxa"/>
            <w:shd w:val="clear" w:color="auto" w:fill="auto"/>
            <w:vAlign w:val="center"/>
          </w:tcPr>
          <w:p>
            <w:pPr>
              <w:spacing w:line="560" w:lineRule="exact"/>
              <w:jc w:val="center"/>
              <w:rPr>
                <w:kern w:val="0"/>
                <w:sz w:val="30"/>
                <w:szCs w:val="30"/>
              </w:rPr>
            </w:pPr>
          </w:p>
        </w:tc>
        <w:tc>
          <w:tcPr>
            <w:tcW w:w="1164" w:type="dxa"/>
            <w:shd w:val="clear" w:color="auto" w:fill="auto"/>
            <w:vAlign w:val="center"/>
          </w:tcPr>
          <w:p>
            <w:pPr>
              <w:spacing w:line="560" w:lineRule="exact"/>
              <w:jc w:val="center"/>
              <w:rPr>
                <w:kern w:val="0"/>
                <w:sz w:val="30"/>
                <w:szCs w:val="30"/>
              </w:rPr>
            </w:pPr>
          </w:p>
        </w:tc>
      </w:tr>
    </w:tbl>
    <w:p>
      <w:pPr>
        <w:spacing w:before="240" w:line="560" w:lineRule="exact"/>
        <w:ind w:firstLine="840" w:firstLineChars="300"/>
        <w:rPr>
          <w:rFonts w:eastAsia="方正小标宋简体"/>
          <w:bCs/>
          <w:sz w:val="24"/>
          <w:u w:val="single"/>
        </w:rPr>
      </w:pPr>
      <w:r>
        <w:rPr>
          <w:rFonts w:hint="eastAsia" w:eastAsia="楷体_GB2312"/>
          <w:bCs/>
          <w:sz w:val="28"/>
          <w:szCs w:val="30"/>
        </w:rPr>
        <w:t>填报人：</w:t>
      </w:r>
      <w:r>
        <w:rPr>
          <w:rFonts w:hint="eastAsia" w:eastAsia="楷体_GB2312"/>
          <w:bCs/>
          <w:sz w:val="28"/>
          <w:szCs w:val="30"/>
          <w:u w:val="single"/>
        </w:rPr>
        <w:t xml:space="preserve">                    </w:t>
      </w:r>
      <w:r>
        <w:rPr>
          <w:rFonts w:hint="eastAsia" w:eastAsia="楷体_GB2312"/>
          <w:bCs/>
          <w:sz w:val="28"/>
          <w:szCs w:val="30"/>
        </w:rPr>
        <w:t xml:space="preserve">                             分管负责人</w:t>
      </w:r>
      <w:r>
        <w:rPr>
          <w:rFonts w:hint="eastAsia" w:eastAsia="楷体_GB2312"/>
          <w:bCs/>
          <w:sz w:val="28"/>
          <w:szCs w:val="30"/>
          <w:u w:val="single"/>
        </w:rPr>
        <w:t xml:space="preserve">：              </w:t>
      </w:r>
      <w:r>
        <w:rPr>
          <w:rFonts w:eastAsia="方正小标宋简体"/>
          <w:bCs/>
          <w:sz w:val="24"/>
          <w:u w:val="single"/>
        </w:rPr>
        <w:t xml:space="preserve"> </w:t>
      </w:r>
    </w:p>
    <w:p>
      <w:pPr>
        <w:adjustRightInd w:val="0"/>
        <w:snapToGrid w:val="0"/>
        <w:spacing w:line="440" w:lineRule="exact"/>
        <w:jc w:val="left"/>
        <w:rPr>
          <w:rFonts w:eastAsia="黑体"/>
          <w:sz w:val="32"/>
          <w:szCs w:val="32"/>
        </w:rPr>
      </w:pPr>
    </w:p>
    <w:p>
      <w:pPr>
        <w:adjustRightInd w:val="0"/>
        <w:snapToGrid w:val="0"/>
        <w:spacing w:line="440" w:lineRule="exact"/>
        <w:jc w:val="left"/>
        <w:rPr>
          <w:rFonts w:eastAsia="黑体"/>
          <w:sz w:val="32"/>
          <w:szCs w:val="32"/>
        </w:rPr>
      </w:pPr>
      <w:r>
        <w:rPr>
          <w:rFonts w:eastAsia="黑体"/>
          <w:sz w:val="32"/>
          <w:szCs w:val="32"/>
        </w:rPr>
        <w:t>附件</w:t>
      </w:r>
      <w:r>
        <w:rPr>
          <w:rFonts w:hint="eastAsia" w:eastAsia="黑体"/>
          <w:sz w:val="32"/>
          <w:szCs w:val="32"/>
        </w:rPr>
        <w:t>5</w:t>
      </w:r>
    </w:p>
    <w:p>
      <w:pPr>
        <w:spacing w:line="560" w:lineRule="exact"/>
        <w:jc w:val="center"/>
        <w:rPr>
          <w:rFonts w:eastAsia="方正小标宋简体"/>
          <w:sz w:val="44"/>
        </w:rPr>
      </w:pPr>
    </w:p>
    <w:p>
      <w:pPr>
        <w:spacing w:line="56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rPr>
        <w:t>餐饮场所“瓶改电”集中改造工作</w:t>
      </w:r>
      <w:r>
        <w:rPr>
          <w:rFonts w:hint="eastAsia" w:ascii="方正小标宋简体" w:hAnsi="方正小标宋简体" w:eastAsia="方正小标宋简体" w:cs="方正小标宋简体"/>
          <w:sz w:val="44"/>
          <w:szCs w:val="32"/>
        </w:rPr>
        <w:t>进度明细</w:t>
      </w:r>
      <w:r>
        <w:rPr>
          <w:rFonts w:hint="eastAsia" w:ascii="方正小标宋简体" w:hAnsi="方正小标宋简体" w:eastAsia="方正小标宋简体" w:cs="方正小标宋简体"/>
          <w:sz w:val="44"/>
          <w:szCs w:val="44"/>
        </w:rPr>
        <w:t>表</w:t>
      </w:r>
    </w:p>
    <w:p>
      <w:pPr>
        <w:snapToGrid w:val="0"/>
        <w:spacing w:line="560" w:lineRule="exact"/>
        <w:ind w:right="-624" w:rightChars="-297" w:firstLine="420" w:firstLineChars="150"/>
        <w:jc w:val="left"/>
        <w:rPr>
          <w:rFonts w:eastAsia="微软雅黑" w:cs="宋体"/>
          <w:bCs/>
          <w:kern w:val="0"/>
          <w:sz w:val="24"/>
          <w:u w:val="single"/>
        </w:rPr>
      </w:pPr>
      <w:r>
        <w:rPr>
          <w:rFonts w:hint="eastAsia" w:eastAsia="楷体_GB2312"/>
          <w:bCs/>
          <w:sz w:val="28"/>
        </w:rPr>
        <w:t>填报办事处（综合服务办）：</w:t>
      </w:r>
      <w:r>
        <w:rPr>
          <w:rFonts w:hint="eastAsia" w:eastAsia="仿宋_GB2312"/>
          <w:bCs/>
          <w:sz w:val="32"/>
          <w:u w:val="single"/>
        </w:rPr>
        <w:t xml:space="preserve">              </w:t>
      </w:r>
      <w:r>
        <w:rPr>
          <w:rFonts w:hint="eastAsia" w:eastAsia="楷体_GB2312"/>
          <w:bCs/>
          <w:sz w:val="28"/>
        </w:rPr>
        <w:t xml:space="preserve">                         填报日期：</w:t>
      </w:r>
      <w:r>
        <w:rPr>
          <w:rFonts w:hint="eastAsia" w:eastAsia="仿宋_GB2312"/>
          <w:bCs/>
          <w:sz w:val="32"/>
          <w:u w:val="single"/>
        </w:rPr>
        <w:t xml:space="preserve">          </w:t>
      </w:r>
      <w:r>
        <w:rPr>
          <w:rFonts w:hint="eastAsia" w:eastAsia="仿宋_GB2312" w:cs="宋体"/>
          <w:bCs/>
          <w:kern w:val="0"/>
          <w:sz w:val="28"/>
          <w:u w:val="single"/>
        </w:rPr>
        <w:t xml:space="preserve">      </w:t>
      </w:r>
    </w:p>
    <w:tbl>
      <w:tblPr>
        <w:tblStyle w:val="19"/>
        <w:tblW w:w="51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772"/>
        <w:gridCol w:w="3788"/>
        <w:gridCol w:w="1395"/>
        <w:gridCol w:w="1507"/>
        <w:gridCol w:w="1507"/>
        <w:gridCol w:w="1507"/>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852" w:type="dxa"/>
            <w:shd w:val="clear" w:color="auto" w:fill="auto"/>
            <w:vAlign w:val="center"/>
          </w:tcPr>
          <w:p>
            <w:pPr>
              <w:snapToGrid w:val="0"/>
              <w:spacing w:line="440" w:lineRule="exact"/>
              <w:jc w:val="center"/>
              <w:rPr>
                <w:rFonts w:eastAsia="仿宋_GB2312"/>
                <w:kern w:val="0"/>
                <w:sz w:val="28"/>
                <w:szCs w:val="28"/>
              </w:rPr>
            </w:pPr>
            <w:r>
              <w:rPr>
                <w:rFonts w:hint="eastAsia" w:eastAsia="仿宋_GB2312"/>
                <w:kern w:val="0"/>
                <w:sz w:val="28"/>
                <w:szCs w:val="28"/>
              </w:rPr>
              <w:t>序号</w:t>
            </w:r>
          </w:p>
        </w:tc>
        <w:tc>
          <w:tcPr>
            <w:tcW w:w="2772" w:type="dxa"/>
            <w:shd w:val="clear" w:color="auto" w:fill="auto"/>
            <w:vAlign w:val="center"/>
          </w:tcPr>
          <w:p>
            <w:pPr>
              <w:snapToGrid w:val="0"/>
              <w:spacing w:line="440" w:lineRule="exact"/>
              <w:jc w:val="center"/>
              <w:rPr>
                <w:rFonts w:eastAsia="仿宋_GB2312"/>
                <w:kern w:val="0"/>
                <w:sz w:val="28"/>
                <w:szCs w:val="28"/>
              </w:rPr>
            </w:pPr>
            <w:r>
              <w:rPr>
                <w:rFonts w:hint="eastAsia" w:eastAsia="仿宋_GB2312"/>
                <w:kern w:val="0"/>
                <w:sz w:val="28"/>
                <w:szCs w:val="28"/>
              </w:rPr>
              <w:t>餐饮名称</w:t>
            </w:r>
          </w:p>
        </w:tc>
        <w:tc>
          <w:tcPr>
            <w:tcW w:w="3788" w:type="dxa"/>
            <w:shd w:val="clear" w:color="auto" w:fill="auto"/>
            <w:vAlign w:val="center"/>
          </w:tcPr>
          <w:p>
            <w:pPr>
              <w:snapToGrid w:val="0"/>
              <w:spacing w:line="440" w:lineRule="exact"/>
              <w:jc w:val="center"/>
              <w:rPr>
                <w:rFonts w:eastAsia="仿宋_GB2312"/>
                <w:kern w:val="0"/>
                <w:sz w:val="28"/>
                <w:szCs w:val="28"/>
              </w:rPr>
            </w:pPr>
            <w:r>
              <w:rPr>
                <w:rFonts w:hint="eastAsia" w:eastAsia="仿宋_GB2312"/>
                <w:kern w:val="0"/>
                <w:sz w:val="28"/>
                <w:szCs w:val="28"/>
              </w:rPr>
              <w:t>地址</w:t>
            </w:r>
          </w:p>
        </w:tc>
        <w:tc>
          <w:tcPr>
            <w:tcW w:w="1395" w:type="dxa"/>
            <w:shd w:val="clear" w:color="auto" w:fill="auto"/>
            <w:vAlign w:val="center"/>
          </w:tcPr>
          <w:p>
            <w:pPr>
              <w:adjustRightInd w:val="0"/>
              <w:snapToGrid w:val="0"/>
              <w:spacing w:line="440" w:lineRule="exact"/>
              <w:jc w:val="center"/>
              <w:rPr>
                <w:rFonts w:eastAsia="仿宋_GB2312"/>
                <w:kern w:val="0"/>
                <w:sz w:val="28"/>
                <w:szCs w:val="28"/>
              </w:rPr>
            </w:pPr>
            <w:r>
              <w:rPr>
                <w:rFonts w:hint="eastAsia" w:eastAsia="仿宋_GB2312"/>
                <w:kern w:val="0"/>
                <w:sz w:val="28"/>
                <w:szCs w:val="28"/>
              </w:rPr>
              <w:t>宣传动员时间</w:t>
            </w:r>
          </w:p>
        </w:tc>
        <w:tc>
          <w:tcPr>
            <w:tcW w:w="1507" w:type="dxa"/>
            <w:shd w:val="clear" w:color="auto" w:fill="auto"/>
            <w:vAlign w:val="center"/>
          </w:tcPr>
          <w:p>
            <w:pPr>
              <w:snapToGrid w:val="0"/>
              <w:spacing w:line="440" w:lineRule="exact"/>
              <w:jc w:val="center"/>
              <w:rPr>
                <w:rFonts w:eastAsia="仿宋_GB2312"/>
                <w:kern w:val="0"/>
                <w:sz w:val="28"/>
                <w:szCs w:val="28"/>
              </w:rPr>
            </w:pPr>
            <w:r>
              <w:rPr>
                <w:rFonts w:hint="eastAsia" w:eastAsia="仿宋_GB2312"/>
                <w:kern w:val="0"/>
                <w:sz w:val="28"/>
                <w:szCs w:val="28"/>
              </w:rPr>
              <w:t>“瓶改电”</w:t>
            </w:r>
          </w:p>
          <w:p>
            <w:pPr>
              <w:snapToGrid w:val="0"/>
              <w:spacing w:line="440" w:lineRule="exact"/>
              <w:jc w:val="center"/>
              <w:rPr>
                <w:rFonts w:eastAsia="仿宋_GB2312"/>
                <w:kern w:val="0"/>
                <w:sz w:val="28"/>
                <w:szCs w:val="28"/>
              </w:rPr>
            </w:pPr>
            <w:r>
              <w:rPr>
                <w:rFonts w:hint="eastAsia" w:eastAsia="仿宋_GB2312"/>
                <w:kern w:val="0"/>
                <w:sz w:val="28"/>
                <w:szCs w:val="28"/>
              </w:rPr>
              <w:t>签约时间</w:t>
            </w:r>
          </w:p>
        </w:tc>
        <w:tc>
          <w:tcPr>
            <w:tcW w:w="1507" w:type="dxa"/>
            <w:shd w:val="clear" w:color="auto" w:fill="auto"/>
            <w:vAlign w:val="center"/>
          </w:tcPr>
          <w:p>
            <w:pPr>
              <w:snapToGrid w:val="0"/>
              <w:spacing w:line="440" w:lineRule="exact"/>
              <w:jc w:val="center"/>
              <w:rPr>
                <w:rFonts w:eastAsia="仿宋_GB2312"/>
                <w:kern w:val="0"/>
                <w:sz w:val="28"/>
                <w:szCs w:val="28"/>
              </w:rPr>
            </w:pPr>
            <w:r>
              <w:rPr>
                <w:rFonts w:hint="eastAsia" w:eastAsia="仿宋_GB2312"/>
                <w:kern w:val="0"/>
                <w:sz w:val="28"/>
                <w:szCs w:val="28"/>
              </w:rPr>
              <w:t>“瓶改电”施工时间</w:t>
            </w:r>
          </w:p>
        </w:tc>
        <w:tc>
          <w:tcPr>
            <w:tcW w:w="1507" w:type="dxa"/>
            <w:shd w:val="clear" w:color="auto" w:fill="auto"/>
            <w:vAlign w:val="center"/>
          </w:tcPr>
          <w:p>
            <w:pPr>
              <w:snapToGrid w:val="0"/>
              <w:spacing w:line="440" w:lineRule="exact"/>
              <w:jc w:val="center"/>
              <w:rPr>
                <w:rFonts w:eastAsia="仿宋_GB2312"/>
                <w:kern w:val="0"/>
                <w:sz w:val="28"/>
                <w:szCs w:val="28"/>
              </w:rPr>
            </w:pPr>
            <w:r>
              <w:rPr>
                <w:rFonts w:hint="eastAsia" w:eastAsia="仿宋_GB2312"/>
                <w:kern w:val="0"/>
                <w:sz w:val="28"/>
                <w:szCs w:val="28"/>
              </w:rPr>
              <w:t>“瓶改电”通电时间</w:t>
            </w:r>
          </w:p>
        </w:tc>
        <w:tc>
          <w:tcPr>
            <w:tcW w:w="1164" w:type="dxa"/>
            <w:shd w:val="clear" w:color="auto" w:fill="auto"/>
            <w:vAlign w:val="center"/>
          </w:tcPr>
          <w:p>
            <w:pPr>
              <w:snapToGrid w:val="0"/>
              <w:spacing w:line="440" w:lineRule="exact"/>
              <w:jc w:val="center"/>
              <w:rPr>
                <w:rFonts w:eastAsia="仿宋_GB2312"/>
                <w:kern w:val="0"/>
                <w:sz w:val="28"/>
                <w:szCs w:val="28"/>
              </w:rPr>
            </w:pPr>
            <w:r>
              <w:rPr>
                <w:rFonts w:hint="eastAsia" w:eastAsia="仿宋_GB2312"/>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shd w:val="clear" w:color="auto" w:fill="auto"/>
            <w:vAlign w:val="center"/>
          </w:tcPr>
          <w:p>
            <w:pPr>
              <w:spacing w:line="560" w:lineRule="exact"/>
              <w:jc w:val="center"/>
              <w:rPr>
                <w:kern w:val="0"/>
                <w:sz w:val="30"/>
                <w:szCs w:val="30"/>
              </w:rPr>
            </w:pPr>
          </w:p>
        </w:tc>
        <w:tc>
          <w:tcPr>
            <w:tcW w:w="2772" w:type="dxa"/>
            <w:shd w:val="clear" w:color="auto" w:fill="auto"/>
            <w:vAlign w:val="center"/>
          </w:tcPr>
          <w:p>
            <w:pPr>
              <w:spacing w:line="560" w:lineRule="exact"/>
              <w:jc w:val="center"/>
              <w:rPr>
                <w:rFonts w:eastAsia="微软雅黑" w:cs="宋体"/>
                <w:kern w:val="0"/>
                <w:sz w:val="28"/>
              </w:rPr>
            </w:pPr>
          </w:p>
        </w:tc>
        <w:tc>
          <w:tcPr>
            <w:tcW w:w="3788" w:type="dxa"/>
            <w:shd w:val="clear" w:color="auto" w:fill="auto"/>
            <w:vAlign w:val="center"/>
          </w:tcPr>
          <w:p>
            <w:pPr>
              <w:spacing w:line="560" w:lineRule="exact"/>
              <w:jc w:val="center"/>
              <w:rPr>
                <w:rFonts w:eastAsia="微软雅黑" w:cs="宋体"/>
                <w:kern w:val="0"/>
                <w:sz w:val="28"/>
              </w:rPr>
            </w:pPr>
          </w:p>
        </w:tc>
        <w:tc>
          <w:tcPr>
            <w:tcW w:w="1395" w:type="dxa"/>
            <w:shd w:val="clear" w:color="auto" w:fill="auto"/>
            <w:vAlign w:val="center"/>
          </w:tcPr>
          <w:p>
            <w:pPr>
              <w:spacing w:line="560" w:lineRule="exact"/>
              <w:jc w:val="center"/>
              <w:rPr>
                <w:rFonts w:eastAsia="微软雅黑" w:cs="宋体"/>
                <w:kern w:val="0"/>
                <w:sz w:val="28"/>
              </w:rPr>
            </w:pPr>
          </w:p>
        </w:tc>
        <w:tc>
          <w:tcPr>
            <w:tcW w:w="1507" w:type="dxa"/>
            <w:shd w:val="clear" w:color="auto" w:fill="auto"/>
            <w:vAlign w:val="center"/>
          </w:tcPr>
          <w:p>
            <w:pPr>
              <w:spacing w:line="560" w:lineRule="exact"/>
              <w:jc w:val="center"/>
              <w:rPr>
                <w:kern w:val="0"/>
                <w:sz w:val="30"/>
                <w:szCs w:val="30"/>
              </w:rPr>
            </w:pPr>
          </w:p>
        </w:tc>
        <w:tc>
          <w:tcPr>
            <w:tcW w:w="1507" w:type="dxa"/>
            <w:shd w:val="clear" w:color="auto" w:fill="auto"/>
            <w:vAlign w:val="center"/>
          </w:tcPr>
          <w:p>
            <w:pPr>
              <w:spacing w:line="560" w:lineRule="exact"/>
              <w:jc w:val="center"/>
              <w:rPr>
                <w:kern w:val="0"/>
                <w:sz w:val="30"/>
                <w:szCs w:val="30"/>
              </w:rPr>
            </w:pPr>
          </w:p>
        </w:tc>
        <w:tc>
          <w:tcPr>
            <w:tcW w:w="1507" w:type="dxa"/>
            <w:shd w:val="clear" w:color="auto" w:fill="auto"/>
            <w:vAlign w:val="center"/>
          </w:tcPr>
          <w:p>
            <w:pPr>
              <w:spacing w:line="560" w:lineRule="exact"/>
              <w:jc w:val="center"/>
              <w:rPr>
                <w:kern w:val="0"/>
                <w:sz w:val="30"/>
                <w:szCs w:val="30"/>
              </w:rPr>
            </w:pPr>
          </w:p>
        </w:tc>
        <w:tc>
          <w:tcPr>
            <w:tcW w:w="1164" w:type="dxa"/>
            <w:shd w:val="clear" w:color="auto" w:fill="auto"/>
            <w:vAlign w:val="center"/>
          </w:tcPr>
          <w:p>
            <w:pPr>
              <w:spacing w:line="560" w:lineRule="exact"/>
              <w:jc w:val="center"/>
              <w:rPr>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shd w:val="clear" w:color="auto" w:fill="auto"/>
            <w:vAlign w:val="center"/>
          </w:tcPr>
          <w:p>
            <w:pPr>
              <w:spacing w:line="560" w:lineRule="exact"/>
              <w:jc w:val="center"/>
              <w:rPr>
                <w:kern w:val="0"/>
                <w:sz w:val="30"/>
                <w:szCs w:val="30"/>
              </w:rPr>
            </w:pPr>
          </w:p>
        </w:tc>
        <w:tc>
          <w:tcPr>
            <w:tcW w:w="2772" w:type="dxa"/>
            <w:shd w:val="clear" w:color="auto" w:fill="auto"/>
            <w:vAlign w:val="center"/>
          </w:tcPr>
          <w:p>
            <w:pPr>
              <w:spacing w:line="560" w:lineRule="exact"/>
              <w:jc w:val="center"/>
              <w:rPr>
                <w:rFonts w:eastAsia="微软雅黑" w:cs="宋体"/>
                <w:kern w:val="0"/>
                <w:sz w:val="28"/>
              </w:rPr>
            </w:pPr>
          </w:p>
        </w:tc>
        <w:tc>
          <w:tcPr>
            <w:tcW w:w="3788" w:type="dxa"/>
            <w:shd w:val="clear" w:color="auto" w:fill="auto"/>
            <w:vAlign w:val="center"/>
          </w:tcPr>
          <w:p>
            <w:pPr>
              <w:spacing w:line="560" w:lineRule="exact"/>
              <w:jc w:val="center"/>
              <w:rPr>
                <w:rFonts w:eastAsia="微软雅黑" w:cs="宋体"/>
                <w:kern w:val="0"/>
                <w:sz w:val="28"/>
              </w:rPr>
            </w:pPr>
          </w:p>
        </w:tc>
        <w:tc>
          <w:tcPr>
            <w:tcW w:w="1395" w:type="dxa"/>
            <w:shd w:val="clear" w:color="auto" w:fill="auto"/>
            <w:vAlign w:val="center"/>
          </w:tcPr>
          <w:p>
            <w:pPr>
              <w:spacing w:line="560" w:lineRule="exact"/>
              <w:jc w:val="center"/>
              <w:rPr>
                <w:rFonts w:eastAsia="微软雅黑" w:cs="宋体"/>
                <w:kern w:val="0"/>
                <w:sz w:val="28"/>
              </w:rPr>
            </w:pPr>
          </w:p>
        </w:tc>
        <w:tc>
          <w:tcPr>
            <w:tcW w:w="1507" w:type="dxa"/>
            <w:shd w:val="clear" w:color="auto" w:fill="auto"/>
            <w:vAlign w:val="center"/>
          </w:tcPr>
          <w:p>
            <w:pPr>
              <w:spacing w:line="560" w:lineRule="exact"/>
              <w:jc w:val="center"/>
              <w:rPr>
                <w:kern w:val="0"/>
                <w:sz w:val="30"/>
                <w:szCs w:val="30"/>
              </w:rPr>
            </w:pPr>
          </w:p>
        </w:tc>
        <w:tc>
          <w:tcPr>
            <w:tcW w:w="1507" w:type="dxa"/>
            <w:shd w:val="clear" w:color="auto" w:fill="auto"/>
            <w:vAlign w:val="center"/>
          </w:tcPr>
          <w:p>
            <w:pPr>
              <w:spacing w:line="560" w:lineRule="exact"/>
              <w:jc w:val="center"/>
              <w:rPr>
                <w:kern w:val="0"/>
                <w:sz w:val="30"/>
                <w:szCs w:val="30"/>
              </w:rPr>
            </w:pPr>
          </w:p>
        </w:tc>
        <w:tc>
          <w:tcPr>
            <w:tcW w:w="1507" w:type="dxa"/>
            <w:shd w:val="clear" w:color="auto" w:fill="auto"/>
            <w:vAlign w:val="center"/>
          </w:tcPr>
          <w:p>
            <w:pPr>
              <w:spacing w:line="560" w:lineRule="exact"/>
              <w:jc w:val="center"/>
              <w:rPr>
                <w:kern w:val="0"/>
                <w:sz w:val="30"/>
                <w:szCs w:val="30"/>
              </w:rPr>
            </w:pPr>
          </w:p>
        </w:tc>
        <w:tc>
          <w:tcPr>
            <w:tcW w:w="1164" w:type="dxa"/>
            <w:shd w:val="clear" w:color="auto" w:fill="auto"/>
            <w:vAlign w:val="center"/>
          </w:tcPr>
          <w:p>
            <w:pPr>
              <w:spacing w:line="560" w:lineRule="exact"/>
              <w:jc w:val="center"/>
              <w:rPr>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shd w:val="clear" w:color="auto" w:fill="auto"/>
            <w:vAlign w:val="center"/>
          </w:tcPr>
          <w:p>
            <w:pPr>
              <w:spacing w:line="560" w:lineRule="exact"/>
              <w:jc w:val="center"/>
              <w:rPr>
                <w:kern w:val="0"/>
                <w:sz w:val="30"/>
                <w:szCs w:val="30"/>
              </w:rPr>
            </w:pPr>
          </w:p>
        </w:tc>
        <w:tc>
          <w:tcPr>
            <w:tcW w:w="2772" w:type="dxa"/>
            <w:shd w:val="clear" w:color="auto" w:fill="auto"/>
            <w:vAlign w:val="center"/>
          </w:tcPr>
          <w:p>
            <w:pPr>
              <w:spacing w:line="560" w:lineRule="exact"/>
              <w:jc w:val="center"/>
              <w:rPr>
                <w:rFonts w:eastAsia="微软雅黑" w:cs="宋体"/>
                <w:kern w:val="0"/>
                <w:sz w:val="28"/>
              </w:rPr>
            </w:pPr>
          </w:p>
        </w:tc>
        <w:tc>
          <w:tcPr>
            <w:tcW w:w="3788" w:type="dxa"/>
            <w:shd w:val="clear" w:color="auto" w:fill="auto"/>
            <w:vAlign w:val="center"/>
          </w:tcPr>
          <w:p>
            <w:pPr>
              <w:spacing w:line="560" w:lineRule="exact"/>
              <w:jc w:val="center"/>
              <w:rPr>
                <w:rFonts w:eastAsia="微软雅黑" w:cs="宋体"/>
                <w:kern w:val="0"/>
                <w:sz w:val="28"/>
              </w:rPr>
            </w:pPr>
          </w:p>
        </w:tc>
        <w:tc>
          <w:tcPr>
            <w:tcW w:w="1395" w:type="dxa"/>
            <w:shd w:val="clear" w:color="auto" w:fill="auto"/>
            <w:vAlign w:val="center"/>
          </w:tcPr>
          <w:p>
            <w:pPr>
              <w:spacing w:line="560" w:lineRule="exact"/>
              <w:jc w:val="center"/>
              <w:rPr>
                <w:rFonts w:eastAsia="微软雅黑" w:cs="宋体"/>
                <w:kern w:val="0"/>
                <w:sz w:val="28"/>
              </w:rPr>
            </w:pPr>
          </w:p>
        </w:tc>
        <w:tc>
          <w:tcPr>
            <w:tcW w:w="1507" w:type="dxa"/>
            <w:shd w:val="clear" w:color="auto" w:fill="auto"/>
            <w:vAlign w:val="center"/>
          </w:tcPr>
          <w:p>
            <w:pPr>
              <w:spacing w:line="560" w:lineRule="exact"/>
              <w:jc w:val="center"/>
              <w:rPr>
                <w:kern w:val="0"/>
                <w:sz w:val="30"/>
                <w:szCs w:val="30"/>
              </w:rPr>
            </w:pPr>
          </w:p>
        </w:tc>
        <w:tc>
          <w:tcPr>
            <w:tcW w:w="1507" w:type="dxa"/>
            <w:shd w:val="clear" w:color="auto" w:fill="auto"/>
            <w:vAlign w:val="center"/>
          </w:tcPr>
          <w:p>
            <w:pPr>
              <w:spacing w:line="560" w:lineRule="exact"/>
              <w:jc w:val="center"/>
              <w:rPr>
                <w:kern w:val="0"/>
                <w:sz w:val="30"/>
                <w:szCs w:val="30"/>
              </w:rPr>
            </w:pPr>
          </w:p>
        </w:tc>
        <w:tc>
          <w:tcPr>
            <w:tcW w:w="1507" w:type="dxa"/>
            <w:shd w:val="clear" w:color="auto" w:fill="auto"/>
            <w:vAlign w:val="center"/>
          </w:tcPr>
          <w:p>
            <w:pPr>
              <w:spacing w:line="560" w:lineRule="exact"/>
              <w:jc w:val="center"/>
              <w:rPr>
                <w:kern w:val="0"/>
                <w:sz w:val="30"/>
                <w:szCs w:val="30"/>
              </w:rPr>
            </w:pPr>
          </w:p>
        </w:tc>
        <w:tc>
          <w:tcPr>
            <w:tcW w:w="1164" w:type="dxa"/>
            <w:shd w:val="clear" w:color="auto" w:fill="auto"/>
            <w:vAlign w:val="center"/>
          </w:tcPr>
          <w:p>
            <w:pPr>
              <w:spacing w:line="560" w:lineRule="exact"/>
              <w:jc w:val="center"/>
              <w:rPr>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shd w:val="clear" w:color="auto" w:fill="auto"/>
            <w:vAlign w:val="center"/>
          </w:tcPr>
          <w:p>
            <w:pPr>
              <w:spacing w:line="560" w:lineRule="exact"/>
              <w:jc w:val="center"/>
              <w:rPr>
                <w:kern w:val="0"/>
                <w:sz w:val="30"/>
                <w:szCs w:val="30"/>
              </w:rPr>
            </w:pPr>
          </w:p>
        </w:tc>
        <w:tc>
          <w:tcPr>
            <w:tcW w:w="2772" w:type="dxa"/>
            <w:shd w:val="clear" w:color="auto" w:fill="auto"/>
            <w:vAlign w:val="center"/>
          </w:tcPr>
          <w:p>
            <w:pPr>
              <w:spacing w:line="560" w:lineRule="exact"/>
              <w:jc w:val="center"/>
              <w:rPr>
                <w:rFonts w:eastAsia="微软雅黑" w:cs="宋体"/>
                <w:kern w:val="0"/>
                <w:sz w:val="28"/>
              </w:rPr>
            </w:pPr>
          </w:p>
        </w:tc>
        <w:tc>
          <w:tcPr>
            <w:tcW w:w="3788" w:type="dxa"/>
            <w:shd w:val="clear" w:color="auto" w:fill="auto"/>
            <w:vAlign w:val="center"/>
          </w:tcPr>
          <w:p>
            <w:pPr>
              <w:spacing w:line="560" w:lineRule="exact"/>
              <w:jc w:val="center"/>
              <w:rPr>
                <w:rFonts w:eastAsia="微软雅黑" w:cs="宋体"/>
                <w:kern w:val="0"/>
                <w:sz w:val="28"/>
              </w:rPr>
            </w:pPr>
          </w:p>
        </w:tc>
        <w:tc>
          <w:tcPr>
            <w:tcW w:w="1395" w:type="dxa"/>
            <w:shd w:val="clear" w:color="auto" w:fill="auto"/>
            <w:vAlign w:val="center"/>
          </w:tcPr>
          <w:p>
            <w:pPr>
              <w:spacing w:line="560" w:lineRule="exact"/>
              <w:jc w:val="center"/>
              <w:rPr>
                <w:rFonts w:eastAsia="微软雅黑" w:cs="宋体"/>
                <w:kern w:val="0"/>
                <w:sz w:val="28"/>
              </w:rPr>
            </w:pPr>
          </w:p>
        </w:tc>
        <w:tc>
          <w:tcPr>
            <w:tcW w:w="1507" w:type="dxa"/>
            <w:shd w:val="clear" w:color="auto" w:fill="auto"/>
            <w:vAlign w:val="center"/>
          </w:tcPr>
          <w:p>
            <w:pPr>
              <w:spacing w:line="560" w:lineRule="exact"/>
              <w:jc w:val="center"/>
              <w:rPr>
                <w:kern w:val="0"/>
                <w:sz w:val="30"/>
                <w:szCs w:val="30"/>
              </w:rPr>
            </w:pPr>
          </w:p>
        </w:tc>
        <w:tc>
          <w:tcPr>
            <w:tcW w:w="1507" w:type="dxa"/>
            <w:shd w:val="clear" w:color="auto" w:fill="auto"/>
            <w:vAlign w:val="center"/>
          </w:tcPr>
          <w:p>
            <w:pPr>
              <w:spacing w:line="560" w:lineRule="exact"/>
              <w:jc w:val="center"/>
              <w:rPr>
                <w:kern w:val="0"/>
                <w:sz w:val="30"/>
                <w:szCs w:val="30"/>
              </w:rPr>
            </w:pPr>
          </w:p>
        </w:tc>
        <w:tc>
          <w:tcPr>
            <w:tcW w:w="1507" w:type="dxa"/>
            <w:shd w:val="clear" w:color="auto" w:fill="auto"/>
            <w:vAlign w:val="center"/>
          </w:tcPr>
          <w:p>
            <w:pPr>
              <w:spacing w:line="560" w:lineRule="exact"/>
              <w:jc w:val="center"/>
              <w:rPr>
                <w:kern w:val="0"/>
                <w:sz w:val="30"/>
                <w:szCs w:val="30"/>
              </w:rPr>
            </w:pPr>
          </w:p>
        </w:tc>
        <w:tc>
          <w:tcPr>
            <w:tcW w:w="1164" w:type="dxa"/>
            <w:shd w:val="clear" w:color="auto" w:fill="auto"/>
            <w:vAlign w:val="center"/>
          </w:tcPr>
          <w:p>
            <w:pPr>
              <w:spacing w:line="560" w:lineRule="exact"/>
              <w:jc w:val="center"/>
              <w:rPr>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shd w:val="clear" w:color="auto" w:fill="auto"/>
            <w:vAlign w:val="center"/>
          </w:tcPr>
          <w:p>
            <w:pPr>
              <w:spacing w:line="560" w:lineRule="exact"/>
              <w:jc w:val="center"/>
              <w:rPr>
                <w:kern w:val="0"/>
                <w:sz w:val="30"/>
                <w:szCs w:val="30"/>
              </w:rPr>
            </w:pPr>
          </w:p>
        </w:tc>
        <w:tc>
          <w:tcPr>
            <w:tcW w:w="2772" w:type="dxa"/>
            <w:shd w:val="clear" w:color="auto" w:fill="auto"/>
            <w:vAlign w:val="center"/>
          </w:tcPr>
          <w:p>
            <w:pPr>
              <w:spacing w:line="560" w:lineRule="exact"/>
              <w:jc w:val="center"/>
              <w:rPr>
                <w:rFonts w:eastAsia="微软雅黑" w:cs="宋体"/>
                <w:kern w:val="0"/>
                <w:sz w:val="28"/>
              </w:rPr>
            </w:pPr>
          </w:p>
        </w:tc>
        <w:tc>
          <w:tcPr>
            <w:tcW w:w="3788" w:type="dxa"/>
            <w:shd w:val="clear" w:color="auto" w:fill="auto"/>
            <w:vAlign w:val="center"/>
          </w:tcPr>
          <w:p>
            <w:pPr>
              <w:spacing w:line="560" w:lineRule="exact"/>
              <w:jc w:val="center"/>
              <w:rPr>
                <w:rFonts w:eastAsia="微软雅黑" w:cs="宋体"/>
                <w:kern w:val="0"/>
                <w:sz w:val="28"/>
              </w:rPr>
            </w:pPr>
          </w:p>
        </w:tc>
        <w:tc>
          <w:tcPr>
            <w:tcW w:w="1395" w:type="dxa"/>
            <w:shd w:val="clear" w:color="auto" w:fill="auto"/>
            <w:vAlign w:val="center"/>
          </w:tcPr>
          <w:p>
            <w:pPr>
              <w:spacing w:line="560" w:lineRule="exact"/>
              <w:jc w:val="center"/>
              <w:rPr>
                <w:rFonts w:eastAsia="微软雅黑" w:cs="宋体"/>
                <w:kern w:val="0"/>
                <w:sz w:val="28"/>
              </w:rPr>
            </w:pPr>
          </w:p>
        </w:tc>
        <w:tc>
          <w:tcPr>
            <w:tcW w:w="1507" w:type="dxa"/>
            <w:shd w:val="clear" w:color="auto" w:fill="auto"/>
            <w:vAlign w:val="center"/>
          </w:tcPr>
          <w:p>
            <w:pPr>
              <w:spacing w:line="560" w:lineRule="exact"/>
              <w:jc w:val="center"/>
              <w:rPr>
                <w:kern w:val="0"/>
                <w:sz w:val="30"/>
                <w:szCs w:val="30"/>
              </w:rPr>
            </w:pPr>
          </w:p>
        </w:tc>
        <w:tc>
          <w:tcPr>
            <w:tcW w:w="1507" w:type="dxa"/>
            <w:shd w:val="clear" w:color="auto" w:fill="auto"/>
            <w:vAlign w:val="center"/>
          </w:tcPr>
          <w:p>
            <w:pPr>
              <w:spacing w:line="560" w:lineRule="exact"/>
              <w:jc w:val="center"/>
              <w:rPr>
                <w:kern w:val="0"/>
                <w:sz w:val="30"/>
                <w:szCs w:val="30"/>
              </w:rPr>
            </w:pPr>
          </w:p>
        </w:tc>
        <w:tc>
          <w:tcPr>
            <w:tcW w:w="1507" w:type="dxa"/>
            <w:shd w:val="clear" w:color="auto" w:fill="auto"/>
            <w:vAlign w:val="center"/>
          </w:tcPr>
          <w:p>
            <w:pPr>
              <w:spacing w:line="560" w:lineRule="exact"/>
              <w:jc w:val="center"/>
              <w:rPr>
                <w:kern w:val="0"/>
                <w:sz w:val="30"/>
                <w:szCs w:val="30"/>
              </w:rPr>
            </w:pPr>
          </w:p>
        </w:tc>
        <w:tc>
          <w:tcPr>
            <w:tcW w:w="1164" w:type="dxa"/>
            <w:shd w:val="clear" w:color="auto" w:fill="auto"/>
            <w:vAlign w:val="center"/>
          </w:tcPr>
          <w:p>
            <w:pPr>
              <w:spacing w:line="560" w:lineRule="exact"/>
              <w:jc w:val="center"/>
              <w:rPr>
                <w:kern w:val="0"/>
                <w:sz w:val="30"/>
                <w:szCs w:val="30"/>
              </w:rPr>
            </w:pPr>
          </w:p>
        </w:tc>
      </w:tr>
    </w:tbl>
    <w:p>
      <w:pPr>
        <w:spacing w:before="240" w:line="560" w:lineRule="exact"/>
        <w:rPr>
          <w:rFonts w:eastAsia="楷体_GB2312"/>
          <w:bCs/>
          <w:sz w:val="24"/>
          <w:u w:val="single"/>
        </w:rPr>
        <w:sectPr>
          <w:pgSz w:w="16838" w:h="11906" w:orient="landscape"/>
          <w:pgMar w:top="1797" w:right="1440" w:bottom="1797" w:left="1440" w:header="851" w:footer="992" w:gutter="0"/>
          <w:cols w:space="720" w:num="1"/>
          <w:docGrid w:type="lines" w:linePitch="319" w:charSpace="0"/>
        </w:sectPr>
      </w:pPr>
      <w:r>
        <w:rPr>
          <w:rFonts w:hint="eastAsia" w:eastAsia="楷体_GB2312"/>
          <w:bCs/>
          <w:sz w:val="28"/>
          <w:szCs w:val="30"/>
        </w:rPr>
        <w:t>填报人：</w:t>
      </w:r>
      <w:r>
        <w:rPr>
          <w:rFonts w:hint="eastAsia" w:eastAsia="楷体_GB2312"/>
          <w:bCs/>
          <w:sz w:val="28"/>
          <w:szCs w:val="30"/>
          <w:u w:val="single"/>
        </w:rPr>
        <w:t xml:space="preserve">                   </w:t>
      </w:r>
      <w:r>
        <w:rPr>
          <w:rFonts w:hint="eastAsia" w:eastAsia="楷体_GB2312"/>
          <w:bCs/>
          <w:sz w:val="28"/>
          <w:szCs w:val="30"/>
        </w:rPr>
        <w:t xml:space="preserve">                              分管负责人：</w:t>
      </w:r>
      <w:r>
        <w:rPr>
          <w:rFonts w:hint="eastAsia" w:eastAsia="楷体_GB2312"/>
          <w:bCs/>
          <w:sz w:val="28"/>
          <w:szCs w:val="30"/>
          <w:u w:val="single"/>
        </w:rPr>
        <w:t xml:space="preserve">           </w:t>
      </w:r>
    </w:p>
    <w:p>
      <w:pPr>
        <w:pStyle w:val="17"/>
        <w:ind w:firstLine="640"/>
        <w:rPr>
          <w:rFonts w:hint="default" w:ascii="Times New Roman" w:hAnsi="Times New Roman"/>
        </w:rPr>
      </w:pPr>
    </w:p>
    <w:p>
      <w:pPr>
        <w:pStyle w:val="17"/>
        <w:ind w:firstLine="640"/>
        <w:rPr>
          <w:rFonts w:hint="default" w:ascii="Times New Roman" w:hAnsi="Times New Roman"/>
        </w:rPr>
      </w:pPr>
    </w:p>
    <w:p>
      <w:pPr>
        <w:pStyle w:val="17"/>
        <w:ind w:firstLine="640"/>
        <w:rPr>
          <w:rFonts w:hint="default" w:ascii="Times New Roman" w:hAnsi="Times New Roman"/>
        </w:rPr>
      </w:pPr>
    </w:p>
    <w:p>
      <w:pPr>
        <w:pStyle w:val="17"/>
        <w:ind w:firstLine="640"/>
        <w:rPr>
          <w:rFonts w:hint="default" w:ascii="Times New Roman" w:hAnsi="Times New Roman"/>
        </w:rPr>
      </w:pPr>
    </w:p>
    <w:p>
      <w:pPr>
        <w:pStyle w:val="17"/>
        <w:ind w:firstLine="640"/>
        <w:rPr>
          <w:rFonts w:hint="default" w:ascii="Times New Roman" w:hAnsi="Times New Roman"/>
        </w:rPr>
      </w:pPr>
    </w:p>
    <w:p>
      <w:pPr>
        <w:pStyle w:val="17"/>
        <w:ind w:firstLine="640"/>
        <w:rPr>
          <w:rFonts w:hint="default" w:ascii="Times New Roman" w:hAnsi="Times New Roman"/>
        </w:rPr>
      </w:pPr>
    </w:p>
    <w:p>
      <w:pPr>
        <w:pStyle w:val="17"/>
        <w:ind w:firstLine="640"/>
        <w:rPr>
          <w:rFonts w:hint="default" w:ascii="Times New Roman" w:hAnsi="Times New Roman"/>
        </w:rPr>
      </w:pPr>
    </w:p>
    <w:p>
      <w:pPr>
        <w:pStyle w:val="17"/>
        <w:ind w:firstLine="640"/>
        <w:rPr>
          <w:rFonts w:hint="default" w:ascii="Times New Roman" w:hAnsi="Times New Roman"/>
        </w:rPr>
      </w:pPr>
    </w:p>
    <w:p>
      <w:pPr>
        <w:pStyle w:val="17"/>
        <w:ind w:firstLine="640"/>
        <w:rPr>
          <w:rFonts w:hint="default" w:ascii="Times New Roman" w:hAnsi="Times New Roman"/>
        </w:rPr>
      </w:pPr>
    </w:p>
    <w:p>
      <w:pPr>
        <w:pStyle w:val="17"/>
        <w:ind w:firstLine="640"/>
        <w:rPr>
          <w:rFonts w:hint="default" w:ascii="Times New Roman" w:hAnsi="Times New Roman"/>
        </w:rPr>
      </w:pPr>
    </w:p>
    <w:p>
      <w:pPr>
        <w:pStyle w:val="17"/>
        <w:ind w:firstLine="640"/>
        <w:rPr>
          <w:rFonts w:hint="default" w:ascii="Times New Roman" w:hAnsi="Times New Roman"/>
        </w:rPr>
      </w:pPr>
    </w:p>
    <w:p>
      <w:pPr>
        <w:pStyle w:val="17"/>
        <w:ind w:firstLine="640"/>
        <w:rPr>
          <w:rFonts w:hint="default" w:ascii="Times New Roman" w:hAnsi="Times New Roman"/>
        </w:rPr>
      </w:pPr>
    </w:p>
    <w:p>
      <w:pPr>
        <w:pStyle w:val="17"/>
        <w:ind w:firstLine="640"/>
        <w:rPr>
          <w:rFonts w:hint="default" w:ascii="Times New Roman" w:hAnsi="Times New Roman"/>
        </w:rPr>
      </w:pPr>
    </w:p>
    <w:p>
      <w:pPr>
        <w:pStyle w:val="17"/>
        <w:ind w:firstLine="640"/>
        <w:rPr>
          <w:rFonts w:hint="default" w:ascii="Times New Roman" w:hAnsi="Times New Roman"/>
        </w:rPr>
      </w:pPr>
    </w:p>
    <w:p>
      <w:pPr>
        <w:pStyle w:val="17"/>
        <w:ind w:firstLine="640"/>
        <w:rPr>
          <w:rFonts w:hint="default" w:ascii="Times New Roman" w:hAnsi="Times New Roman"/>
        </w:rPr>
      </w:pPr>
    </w:p>
    <w:p>
      <w:pPr>
        <w:pStyle w:val="17"/>
        <w:ind w:firstLine="640"/>
        <w:rPr>
          <w:rFonts w:hint="default" w:ascii="Times New Roman" w:hAnsi="Times New Roman"/>
        </w:rPr>
      </w:pPr>
    </w:p>
    <w:p>
      <w:pPr>
        <w:pStyle w:val="17"/>
        <w:ind w:firstLine="640"/>
        <w:rPr>
          <w:rFonts w:hint="default" w:ascii="Times New Roman" w:hAnsi="Times New Roman"/>
        </w:rPr>
      </w:pPr>
    </w:p>
    <w:p>
      <w:pPr>
        <w:pStyle w:val="17"/>
        <w:ind w:firstLine="640"/>
        <w:rPr>
          <w:rFonts w:hint="default" w:ascii="Times New Roman" w:hAnsi="Times New Roman"/>
        </w:rPr>
      </w:pPr>
    </w:p>
    <w:p>
      <w:pPr>
        <w:pStyle w:val="17"/>
        <w:ind w:firstLine="640"/>
        <w:rPr>
          <w:rFonts w:hint="default" w:ascii="Times New Roman" w:hAnsi="Times New Roman"/>
        </w:rPr>
      </w:pPr>
    </w:p>
    <w:p>
      <w:pPr>
        <w:pStyle w:val="2"/>
        <w:rPr>
          <w:rFonts w:ascii="仿宋_GB2312" w:hAnsi="仿宋_GB2312" w:eastAsia="仿宋_GB2312" w:cs="仿宋_GB2312"/>
          <w:sz w:val="32"/>
          <w:szCs w:val="32"/>
        </w:rPr>
      </w:pPr>
    </w:p>
    <w:p>
      <w:pPr>
        <w:adjustRightInd w:val="0"/>
        <w:snapToGrid w:val="0"/>
        <w:spacing w:line="500" w:lineRule="exact"/>
        <w:ind w:firstLine="600"/>
        <w:rPr>
          <w:rFonts w:ascii="仿宋_GB2312" w:hAnsi="仿宋_GB2312" w:eastAsia="仿宋_GB2312" w:cs="仿宋_GB2312"/>
          <w:sz w:val="32"/>
          <w:szCs w:val="32"/>
        </w:rPr>
      </w:pPr>
    </w:p>
    <w:p>
      <w:pPr>
        <w:spacing w:line="440" w:lineRule="exact"/>
        <w:ind w:left="1086" w:leftChars="117" w:hanging="840" w:hangingChars="300"/>
        <w:jc w:val="left"/>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5715</wp:posOffset>
                </wp:positionV>
                <wp:extent cx="550545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50545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6pt;margin-top:0.45pt;height:0pt;width:433.5pt;z-index:251661312;mso-width-relative:page;mso-height-relative:page;" filled="f" stroked="t" coordsize="21600,21600" o:gfxdata="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HWENHPAAAAAwEAAA8AAAAAAAAAAQAgAAAAIgAAAGRycy9kb3ducmV2LnhtbFBLAQIU&#10;ABQAAAAIAIdO4kAnFsTI/AEAAO0DAAAOAAAAAAAAAAEAIAAAAB4BAABkcnMvZTJvRG9jLnhtbFBL&#10;BQYAAAAABgAGAFkBAACMBQAAAAA=&#10;">
                <v:fill on="f" focussize="0,0"/>
                <v:stroke weight="1pt" color="#000000" joinstyle="round"/>
                <v:imagedata o:title=""/>
                <o:lock v:ext="edit" aspectratio="f"/>
              </v:shape>
            </w:pict>
          </mc:Fallback>
        </mc:AlternateContent>
      </w:r>
      <w:r>
        <w:rPr>
          <w:rFonts w:hint="eastAsia" w:ascii="仿宋_GB2312" w:eastAsia="仿宋_GB2312"/>
          <w:sz w:val="28"/>
          <w:szCs w:val="28"/>
        </w:rPr>
        <w:t>报送：园党工委、管委会、纪工委。</w:t>
      </w:r>
    </w:p>
    <w:p>
      <w:pPr>
        <w:spacing w:line="400" w:lineRule="exact"/>
        <w:rPr>
          <w:rFonts w:hint="eastAsia" w:ascii="仿宋_GB2312" w:eastAsia="仿宋_GB2312"/>
          <w:sz w:val="28"/>
          <w:szCs w:val="28"/>
        </w:rPr>
      </w:pPr>
      <w:r>
        <w:rPr>
          <w:rFonts w:hint="eastAsia" w:ascii="仿宋_GB2312" w:eastAsia="仿宋_GB2312"/>
          <w:sz w:val="28"/>
          <w:szCs w:val="28"/>
        </w:rPr>
        <w:t xml:space="preserve">  抄送：镇党委、人大、政协工委。</w:t>
      </w:r>
    </w:p>
    <w:p>
      <w:pPr>
        <w:adjustRightInd w:val="0"/>
        <w:snapToGrid w:val="0"/>
        <w:spacing w:line="500" w:lineRule="exact"/>
        <w:jc w:val="left"/>
        <w:rPr>
          <w:rFonts w:hint="eastAsia" w:ascii="仿宋_GB2312" w:eastAsia="仿宋_GB2312"/>
          <w:sz w:val="32"/>
          <w:szCs w:val="32"/>
        </w:rPr>
      </w:pPr>
      <w:r>
        <w:rPr>
          <w:rFonts w:hint="eastAsia" w:ascii="仿宋_GB2312" w:hAnsi="仿宋" w:eastAsia="仿宋_GB2312" w:cs="仿宋"/>
          <w:sz w:val="30"/>
          <w:szCs w:val="30"/>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316865</wp:posOffset>
                </wp:positionV>
                <wp:extent cx="550545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50545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6pt;margin-top:24.95pt;height:0pt;width:433.5pt;z-index:251659264;mso-width-relative:page;mso-height-relative:page;" filled="f" stroked="t" coordsize="21600,21600" o:gfxdata="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h0F0DSAAAABwEAAA8AAAAAAAAAAQAgAAAAIgAAAGRycy9kb3ducmV2LnhtbFBL&#10;AQIUABQAAAAIAIdO4kBxEICC/AEAAO0DAAAOAAAAAAAAAAEAIAAAACEBAABkcnMvZTJvRG9jLnht&#10;bFBLBQYAAAAABgAGAFkBAACPBQAAAAA=&#10;">
                <v:fill on="f" focussize="0,0"/>
                <v:stroke weight="1pt" color="#000000" joinstyle="round"/>
                <v:imagedata o:title=""/>
                <o:lock v:ext="edit" aspectratio="f"/>
              </v:shape>
            </w:pict>
          </mc:Fallback>
        </mc:AlternateContent>
      </w:r>
      <w:r>
        <w:rPr>
          <w:rFonts w:hint="eastAsia" w:ascii="仿宋_GB2312" w:hAnsi="仿宋" w:eastAsia="仿宋_GB2312" w:cs="仿宋"/>
          <w:sz w:val="30"/>
          <w:szCs w:val="30"/>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18415</wp:posOffset>
                </wp:positionV>
                <wp:extent cx="550545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50545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5pt;margin-top:1.45pt;height:0pt;width:433.5pt;z-index:251660288;mso-width-relative:page;mso-height-relative:page;" filled="f" stroked="t" coordsize="21600,21600" o:gfxdata="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9CHrbQAAAABQEAAA8AAAAAAAAAAQAgAAAAIgAAAGRycy9kb3ducmV2LnhtbFBLAQIU&#10;ABQAAAAIAIdO4kCLGkxc+wEAAO0DAAAOAAAAAAAAAAEAIAAAAB8BAABkcnMvZTJvRG9jLnhtbFBL&#10;BQYAAAAABgAGAFkBAACMBQAAAAA=&#10;">
                <v:fill on="f" focussize="0,0"/>
                <v:stroke weight="1pt" color="#000000" joinstyle="round"/>
                <v:imagedata o:title=""/>
                <o:lock v:ext="edit" aspectratio="f"/>
              </v:shape>
            </w:pict>
          </mc:Fallback>
        </mc:AlternateContent>
      </w:r>
      <w:r>
        <w:rPr>
          <w:rFonts w:hint="eastAsia" w:ascii="仿宋" w:hAnsi="仿宋" w:eastAsia="仿宋" w:cs="仿宋"/>
          <w:sz w:val="10"/>
          <w:szCs w:val="10"/>
        </w:rPr>
        <w:t>.</w:t>
      </w:r>
      <w:r>
        <w:rPr>
          <w:rFonts w:hint="eastAsia" w:ascii="仿宋_GB2312" w:hAnsi="仿宋" w:eastAsia="仿宋_GB2312" w:cs="仿宋"/>
          <w:sz w:val="28"/>
          <w:szCs w:val="28"/>
        </w:rPr>
        <w:t xml:space="preserve">  锦丰镇人民政府办公室                 </w:t>
      </w:r>
      <w:r>
        <w:rPr>
          <w:rFonts w:eastAsia="仿宋_GB2312"/>
          <w:sz w:val="28"/>
          <w:szCs w:val="28"/>
        </w:rPr>
        <w:t xml:space="preserve"> 202</w:t>
      </w:r>
      <w:r>
        <w:rPr>
          <w:rFonts w:hint="eastAsia" w:eastAsia="仿宋_GB2312"/>
          <w:sz w:val="28"/>
          <w:szCs w:val="28"/>
          <w:lang w:val="en-US" w:eastAsia="zh-CN"/>
        </w:rPr>
        <w:t>3</w:t>
      </w:r>
      <w:r>
        <w:rPr>
          <w:rFonts w:eastAsia="仿宋_GB2312"/>
          <w:sz w:val="28"/>
          <w:szCs w:val="28"/>
        </w:rPr>
        <w:t>年</w:t>
      </w:r>
      <w:r>
        <w:rPr>
          <w:rFonts w:hint="eastAsia" w:eastAsia="仿宋_GB2312"/>
          <w:sz w:val="28"/>
          <w:szCs w:val="28"/>
          <w:lang w:val="en-US" w:eastAsia="zh-CN"/>
        </w:rPr>
        <w:t>3</w:t>
      </w:r>
      <w:r>
        <w:rPr>
          <w:rFonts w:eastAsia="仿宋_GB2312"/>
          <w:sz w:val="28"/>
          <w:szCs w:val="28"/>
        </w:rPr>
        <w:t>月</w:t>
      </w:r>
      <w:r>
        <w:rPr>
          <w:rFonts w:hint="eastAsia" w:eastAsia="仿宋_GB2312"/>
          <w:sz w:val="28"/>
          <w:szCs w:val="28"/>
          <w:lang w:val="en-US" w:eastAsia="zh-CN"/>
        </w:rPr>
        <w:t>17</w:t>
      </w:r>
      <w:r>
        <w:rPr>
          <w:rFonts w:eastAsia="仿宋_GB2312"/>
          <w:sz w:val="28"/>
          <w:szCs w:val="28"/>
        </w:rPr>
        <w:t>日印发</w:t>
      </w:r>
      <w:r>
        <w:rPr>
          <w:rFonts w:ascii="仿宋_GB2312" w:eastAsia="仿宋_GB2312"/>
          <w:sz w:val="28"/>
          <w:szCs w:val="28"/>
        </w:rPr>
        <w:t xml:space="preserve">    </w:t>
      </w:r>
    </w:p>
    <w:p>
      <w:pPr>
        <w:spacing w:line="520" w:lineRule="exact"/>
        <w:ind w:right="-191" w:rightChars="-91" w:firstLine="274" w:firstLineChars="98"/>
        <w:jc w:val="left"/>
        <w:rPr>
          <w:rFonts w:eastAsia="仿宋_GB2312"/>
          <w:sz w:val="28"/>
          <w:szCs w:val="28"/>
        </w:rPr>
      </w:pPr>
    </w:p>
    <w:sectPr>
      <w:pgSz w:w="11906" w:h="16838"/>
      <w:pgMar w:top="1440" w:right="1797" w:bottom="1440" w:left="1797"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8"/>
      </w:rPr>
    </w:pPr>
    <w:r>
      <w:rPr>
        <w:rFonts w:hint="eastAsia"/>
        <w:sz w:val="28"/>
      </w:rPr>
      <w:t xml:space="preserve">— </w:t>
    </w:r>
    <w:r>
      <w:rPr>
        <w:sz w:val="28"/>
      </w:rPr>
      <w:fldChar w:fldCharType="begin"/>
    </w:r>
    <w:r>
      <w:rPr>
        <w:sz w:val="28"/>
      </w:rPr>
      <w:instrText xml:space="preserve">PAGE   \* MERGEFORMAT</w:instrText>
    </w:r>
    <w:r>
      <w:rPr>
        <w:sz w:val="28"/>
      </w:rPr>
      <w:fldChar w:fldCharType="separate"/>
    </w:r>
    <w:r>
      <w:rPr>
        <w:sz w:val="28"/>
      </w:rPr>
      <w:t>9</w:t>
    </w:r>
    <w:r>
      <w:rPr>
        <w:sz w:val="28"/>
      </w:rPr>
      <w:fldChar w:fldCharType="end"/>
    </w:r>
    <w:r>
      <w:rPr>
        <w:sz w:val="28"/>
      </w:rPr>
      <w:t xml:space="preserve"> </w:t>
    </w:r>
    <w:r>
      <w:rPr>
        <w:rFonts w:hint="eastAsia"/>
        <w:sz w:val="28"/>
      </w:rPr>
      <w:t>—</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10</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p>
    <w:pPr>
      <w:pStyle w:val="12"/>
      <w:pBdr>
        <w:bottom w:val="none" w:color="auto" w:sz="0" w:space="0"/>
      </w:pBdr>
    </w:pPr>
  </w:p>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val="1"/>
  <w:drawingGridHorizontalSpacing w:val="105"/>
  <w:drawingGridVerticalSpacing w:val="31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2NzI1YTg0Zjk1NjhlM2M2YjhhMGUxODRhYjIyMDkifQ=="/>
  </w:docVars>
  <w:rsids>
    <w:rsidRoot w:val="00C042FE"/>
    <w:rsid w:val="00010820"/>
    <w:rsid w:val="00010C18"/>
    <w:rsid w:val="000163DE"/>
    <w:rsid w:val="00016CC9"/>
    <w:rsid w:val="00017756"/>
    <w:rsid w:val="000203A8"/>
    <w:rsid w:val="00027FC2"/>
    <w:rsid w:val="00033299"/>
    <w:rsid w:val="00041BF1"/>
    <w:rsid w:val="0004368D"/>
    <w:rsid w:val="0006313A"/>
    <w:rsid w:val="00076512"/>
    <w:rsid w:val="0007759D"/>
    <w:rsid w:val="000819C5"/>
    <w:rsid w:val="00084043"/>
    <w:rsid w:val="0008646D"/>
    <w:rsid w:val="000867F3"/>
    <w:rsid w:val="0008781E"/>
    <w:rsid w:val="000A1EF6"/>
    <w:rsid w:val="000A5B74"/>
    <w:rsid w:val="000B5CAB"/>
    <w:rsid w:val="000C5C05"/>
    <w:rsid w:val="000D1307"/>
    <w:rsid w:val="000E1B95"/>
    <w:rsid w:val="000F27BC"/>
    <w:rsid w:val="000F3B96"/>
    <w:rsid w:val="000F4B97"/>
    <w:rsid w:val="000F5466"/>
    <w:rsid w:val="00100450"/>
    <w:rsid w:val="001137F4"/>
    <w:rsid w:val="001162FC"/>
    <w:rsid w:val="00116369"/>
    <w:rsid w:val="00120D2D"/>
    <w:rsid w:val="00121231"/>
    <w:rsid w:val="001219C5"/>
    <w:rsid w:val="00126B91"/>
    <w:rsid w:val="001274ED"/>
    <w:rsid w:val="001367E5"/>
    <w:rsid w:val="001411D1"/>
    <w:rsid w:val="00144DB6"/>
    <w:rsid w:val="00151C9A"/>
    <w:rsid w:val="00151D43"/>
    <w:rsid w:val="00154282"/>
    <w:rsid w:val="00154FCF"/>
    <w:rsid w:val="0016042F"/>
    <w:rsid w:val="00160DF2"/>
    <w:rsid w:val="001616BD"/>
    <w:rsid w:val="00161DE4"/>
    <w:rsid w:val="00167E2A"/>
    <w:rsid w:val="0018497C"/>
    <w:rsid w:val="00185768"/>
    <w:rsid w:val="00193A05"/>
    <w:rsid w:val="00195612"/>
    <w:rsid w:val="001A409F"/>
    <w:rsid w:val="001A6897"/>
    <w:rsid w:val="001A6DC1"/>
    <w:rsid w:val="001B252E"/>
    <w:rsid w:val="001B4A71"/>
    <w:rsid w:val="001B77B1"/>
    <w:rsid w:val="001C17B8"/>
    <w:rsid w:val="001C3E39"/>
    <w:rsid w:val="001C6705"/>
    <w:rsid w:val="001C69B7"/>
    <w:rsid w:val="001D06A1"/>
    <w:rsid w:val="001D583C"/>
    <w:rsid w:val="001D69FC"/>
    <w:rsid w:val="001E01D6"/>
    <w:rsid w:val="001E2650"/>
    <w:rsid w:val="001E43F2"/>
    <w:rsid w:val="001F09AB"/>
    <w:rsid w:val="001F6B0B"/>
    <w:rsid w:val="002002F6"/>
    <w:rsid w:val="00201267"/>
    <w:rsid w:val="00205EE1"/>
    <w:rsid w:val="00220957"/>
    <w:rsid w:val="00220C16"/>
    <w:rsid w:val="00225EEE"/>
    <w:rsid w:val="0024271F"/>
    <w:rsid w:val="00253899"/>
    <w:rsid w:val="0025447B"/>
    <w:rsid w:val="00255679"/>
    <w:rsid w:val="00262217"/>
    <w:rsid w:val="002623BC"/>
    <w:rsid w:val="00262BE7"/>
    <w:rsid w:val="0026430F"/>
    <w:rsid w:val="0026644E"/>
    <w:rsid w:val="0027356B"/>
    <w:rsid w:val="002767F9"/>
    <w:rsid w:val="00280134"/>
    <w:rsid w:val="0028183B"/>
    <w:rsid w:val="00283D21"/>
    <w:rsid w:val="00286330"/>
    <w:rsid w:val="00286622"/>
    <w:rsid w:val="00290ABB"/>
    <w:rsid w:val="00292DD0"/>
    <w:rsid w:val="00293E3D"/>
    <w:rsid w:val="00294825"/>
    <w:rsid w:val="00296F65"/>
    <w:rsid w:val="002B5F4A"/>
    <w:rsid w:val="002B6A29"/>
    <w:rsid w:val="002C104F"/>
    <w:rsid w:val="002C1806"/>
    <w:rsid w:val="002C2EE6"/>
    <w:rsid w:val="002C2F0B"/>
    <w:rsid w:val="002C3E6F"/>
    <w:rsid w:val="002D06B2"/>
    <w:rsid w:val="002D0762"/>
    <w:rsid w:val="002D6F21"/>
    <w:rsid w:val="002D73CC"/>
    <w:rsid w:val="002E3D4A"/>
    <w:rsid w:val="002E3EFD"/>
    <w:rsid w:val="002F087E"/>
    <w:rsid w:val="002F1F74"/>
    <w:rsid w:val="0030096B"/>
    <w:rsid w:val="00300FBB"/>
    <w:rsid w:val="00302898"/>
    <w:rsid w:val="00305297"/>
    <w:rsid w:val="00310C0E"/>
    <w:rsid w:val="00316E92"/>
    <w:rsid w:val="003208E5"/>
    <w:rsid w:val="0032427A"/>
    <w:rsid w:val="00325B8D"/>
    <w:rsid w:val="00340BA3"/>
    <w:rsid w:val="003465FF"/>
    <w:rsid w:val="00347DAF"/>
    <w:rsid w:val="003514DF"/>
    <w:rsid w:val="00352D03"/>
    <w:rsid w:val="00353397"/>
    <w:rsid w:val="0035396F"/>
    <w:rsid w:val="00354CC8"/>
    <w:rsid w:val="00354F34"/>
    <w:rsid w:val="0035640B"/>
    <w:rsid w:val="00357D42"/>
    <w:rsid w:val="00357DBF"/>
    <w:rsid w:val="0036476E"/>
    <w:rsid w:val="00375A78"/>
    <w:rsid w:val="0037752F"/>
    <w:rsid w:val="003851C7"/>
    <w:rsid w:val="00385C5D"/>
    <w:rsid w:val="00390D24"/>
    <w:rsid w:val="003930A2"/>
    <w:rsid w:val="003A02E4"/>
    <w:rsid w:val="003A1059"/>
    <w:rsid w:val="003B3C3C"/>
    <w:rsid w:val="003B533F"/>
    <w:rsid w:val="003B55E7"/>
    <w:rsid w:val="003B7F0D"/>
    <w:rsid w:val="003C4F09"/>
    <w:rsid w:val="003C7DBD"/>
    <w:rsid w:val="003C7EFB"/>
    <w:rsid w:val="003D153E"/>
    <w:rsid w:val="003D3C09"/>
    <w:rsid w:val="003D660C"/>
    <w:rsid w:val="003E3167"/>
    <w:rsid w:val="003E33CE"/>
    <w:rsid w:val="003E486F"/>
    <w:rsid w:val="003E4D0A"/>
    <w:rsid w:val="003E4E07"/>
    <w:rsid w:val="003E6481"/>
    <w:rsid w:val="003E7B50"/>
    <w:rsid w:val="003F02A5"/>
    <w:rsid w:val="003F6583"/>
    <w:rsid w:val="0040011E"/>
    <w:rsid w:val="004040F5"/>
    <w:rsid w:val="004107DA"/>
    <w:rsid w:val="0043194C"/>
    <w:rsid w:val="0043358A"/>
    <w:rsid w:val="00435FE9"/>
    <w:rsid w:val="00437D94"/>
    <w:rsid w:val="00441D5E"/>
    <w:rsid w:val="00441FB0"/>
    <w:rsid w:val="00444BA1"/>
    <w:rsid w:val="0044743A"/>
    <w:rsid w:val="00447868"/>
    <w:rsid w:val="00455319"/>
    <w:rsid w:val="00457DB1"/>
    <w:rsid w:val="00462FCD"/>
    <w:rsid w:val="004717F9"/>
    <w:rsid w:val="00472BB5"/>
    <w:rsid w:val="00481BF8"/>
    <w:rsid w:val="00482A3A"/>
    <w:rsid w:val="004864DC"/>
    <w:rsid w:val="004876B3"/>
    <w:rsid w:val="004A2F42"/>
    <w:rsid w:val="004A570C"/>
    <w:rsid w:val="004B46CF"/>
    <w:rsid w:val="004B5686"/>
    <w:rsid w:val="004B6B53"/>
    <w:rsid w:val="004C087F"/>
    <w:rsid w:val="004C10A5"/>
    <w:rsid w:val="004C2051"/>
    <w:rsid w:val="004D67C4"/>
    <w:rsid w:val="004E4614"/>
    <w:rsid w:val="004F601E"/>
    <w:rsid w:val="004F7901"/>
    <w:rsid w:val="00501CF1"/>
    <w:rsid w:val="00514A15"/>
    <w:rsid w:val="00515182"/>
    <w:rsid w:val="00515929"/>
    <w:rsid w:val="00525819"/>
    <w:rsid w:val="00525B15"/>
    <w:rsid w:val="0052714F"/>
    <w:rsid w:val="00533B48"/>
    <w:rsid w:val="00544C9F"/>
    <w:rsid w:val="005450EB"/>
    <w:rsid w:val="005530D3"/>
    <w:rsid w:val="00554697"/>
    <w:rsid w:val="005565CB"/>
    <w:rsid w:val="0056737C"/>
    <w:rsid w:val="00572D7E"/>
    <w:rsid w:val="0057468C"/>
    <w:rsid w:val="005753AC"/>
    <w:rsid w:val="00577426"/>
    <w:rsid w:val="00577584"/>
    <w:rsid w:val="00577DC3"/>
    <w:rsid w:val="005870DC"/>
    <w:rsid w:val="00592A56"/>
    <w:rsid w:val="00592E7C"/>
    <w:rsid w:val="00594FD1"/>
    <w:rsid w:val="00595CEB"/>
    <w:rsid w:val="00595E3E"/>
    <w:rsid w:val="00596277"/>
    <w:rsid w:val="0059720A"/>
    <w:rsid w:val="00597605"/>
    <w:rsid w:val="005A121E"/>
    <w:rsid w:val="005A1468"/>
    <w:rsid w:val="005A208B"/>
    <w:rsid w:val="005A4057"/>
    <w:rsid w:val="005A4105"/>
    <w:rsid w:val="005A5341"/>
    <w:rsid w:val="005A5B38"/>
    <w:rsid w:val="005B72F0"/>
    <w:rsid w:val="005C0DCC"/>
    <w:rsid w:val="005C48F6"/>
    <w:rsid w:val="005C5FB8"/>
    <w:rsid w:val="005D213F"/>
    <w:rsid w:val="005D50EF"/>
    <w:rsid w:val="005D5DE9"/>
    <w:rsid w:val="005E5D96"/>
    <w:rsid w:val="005E6F33"/>
    <w:rsid w:val="005F0259"/>
    <w:rsid w:val="005F0BD7"/>
    <w:rsid w:val="005F3FCF"/>
    <w:rsid w:val="005F481D"/>
    <w:rsid w:val="005F4A57"/>
    <w:rsid w:val="005F55EA"/>
    <w:rsid w:val="005F56AD"/>
    <w:rsid w:val="005F5CDA"/>
    <w:rsid w:val="005F648E"/>
    <w:rsid w:val="00602B59"/>
    <w:rsid w:val="00603600"/>
    <w:rsid w:val="00604054"/>
    <w:rsid w:val="006101D2"/>
    <w:rsid w:val="0061161A"/>
    <w:rsid w:val="00613033"/>
    <w:rsid w:val="006134BE"/>
    <w:rsid w:val="00613B8D"/>
    <w:rsid w:val="00613E0C"/>
    <w:rsid w:val="0061755F"/>
    <w:rsid w:val="0062526B"/>
    <w:rsid w:val="00627B25"/>
    <w:rsid w:val="00635D0C"/>
    <w:rsid w:val="00636618"/>
    <w:rsid w:val="0065120A"/>
    <w:rsid w:val="00652295"/>
    <w:rsid w:val="00654856"/>
    <w:rsid w:val="0065528F"/>
    <w:rsid w:val="00655F5F"/>
    <w:rsid w:val="00657427"/>
    <w:rsid w:val="00662766"/>
    <w:rsid w:val="00664AD7"/>
    <w:rsid w:val="00664BE7"/>
    <w:rsid w:val="00664FE5"/>
    <w:rsid w:val="006654FA"/>
    <w:rsid w:val="00673289"/>
    <w:rsid w:val="00675685"/>
    <w:rsid w:val="006771C2"/>
    <w:rsid w:val="00683147"/>
    <w:rsid w:val="00684BB3"/>
    <w:rsid w:val="0068706D"/>
    <w:rsid w:val="00692611"/>
    <w:rsid w:val="006A21C5"/>
    <w:rsid w:val="006A7376"/>
    <w:rsid w:val="006B1C19"/>
    <w:rsid w:val="006B4976"/>
    <w:rsid w:val="006B4AAE"/>
    <w:rsid w:val="006C2551"/>
    <w:rsid w:val="006C3876"/>
    <w:rsid w:val="006C63FC"/>
    <w:rsid w:val="006C67C3"/>
    <w:rsid w:val="006D075B"/>
    <w:rsid w:val="006D371F"/>
    <w:rsid w:val="006D4040"/>
    <w:rsid w:val="006D526A"/>
    <w:rsid w:val="006D53B7"/>
    <w:rsid w:val="006E4886"/>
    <w:rsid w:val="006E508A"/>
    <w:rsid w:val="006F4B29"/>
    <w:rsid w:val="0070292D"/>
    <w:rsid w:val="00703E96"/>
    <w:rsid w:val="00706502"/>
    <w:rsid w:val="0070656E"/>
    <w:rsid w:val="007069F4"/>
    <w:rsid w:val="007129B7"/>
    <w:rsid w:val="00712B1D"/>
    <w:rsid w:val="00716CDE"/>
    <w:rsid w:val="00723D42"/>
    <w:rsid w:val="00731435"/>
    <w:rsid w:val="00732BFA"/>
    <w:rsid w:val="0073433F"/>
    <w:rsid w:val="00736B0F"/>
    <w:rsid w:val="007457EF"/>
    <w:rsid w:val="00750D73"/>
    <w:rsid w:val="0075134F"/>
    <w:rsid w:val="00757D87"/>
    <w:rsid w:val="007638E7"/>
    <w:rsid w:val="0076726E"/>
    <w:rsid w:val="007716D1"/>
    <w:rsid w:val="00790D57"/>
    <w:rsid w:val="00792DFB"/>
    <w:rsid w:val="00793657"/>
    <w:rsid w:val="007946C5"/>
    <w:rsid w:val="0079663F"/>
    <w:rsid w:val="007A45B8"/>
    <w:rsid w:val="007A603F"/>
    <w:rsid w:val="007A6311"/>
    <w:rsid w:val="007B0BCE"/>
    <w:rsid w:val="007B156C"/>
    <w:rsid w:val="007B6D73"/>
    <w:rsid w:val="007C05F9"/>
    <w:rsid w:val="007C568A"/>
    <w:rsid w:val="007C5F6E"/>
    <w:rsid w:val="007D23FF"/>
    <w:rsid w:val="007D2C5B"/>
    <w:rsid w:val="007D70F4"/>
    <w:rsid w:val="007D72E8"/>
    <w:rsid w:val="007E060F"/>
    <w:rsid w:val="007E2DB1"/>
    <w:rsid w:val="007F2202"/>
    <w:rsid w:val="007F5451"/>
    <w:rsid w:val="007F74CE"/>
    <w:rsid w:val="00801323"/>
    <w:rsid w:val="00803899"/>
    <w:rsid w:val="00803BE0"/>
    <w:rsid w:val="008041CD"/>
    <w:rsid w:val="008046E0"/>
    <w:rsid w:val="00804963"/>
    <w:rsid w:val="0080505E"/>
    <w:rsid w:val="00806A57"/>
    <w:rsid w:val="00815A13"/>
    <w:rsid w:val="00816FAD"/>
    <w:rsid w:val="00820635"/>
    <w:rsid w:val="008311D1"/>
    <w:rsid w:val="00832DDC"/>
    <w:rsid w:val="008332DB"/>
    <w:rsid w:val="008402D4"/>
    <w:rsid w:val="00841A4B"/>
    <w:rsid w:val="00843AAE"/>
    <w:rsid w:val="00844BF6"/>
    <w:rsid w:val="008478F3"/>
    <w:rsid w:val="008501F8"/>
    <w:rsid w:val="0085449C"/>
    <w:rsid w:val="008547D2"/>
    <w:rsid w:val="00856B50"/>
    <w:rsid w:val="00863CE8"/>
    <w:rsid w:val="0087653C"/>
    <w:rsid w:val="00880002"/>
    <w:rsid w:val="00886479"/>
    <w:rsid w:val="00886F90"/>
    <w:rsid w:val="0088742D"/>
    <w:rsid w:val="0089219F"/>
    <w:rsid w:val="008930D1"/>
    <w:rsid w:val="00894BF4"/>
    <w:rsid w:val="0089783B"/>
    <w:rsid w:val="00897D76"/>
    <w:rsid w:val="008A65A1"/>
    <w:rsid w:val="008A7C50"/>
    <w:rsid w:val="008B082A"/>
    <w:rsid w:val="008B2BAF"/>
    <w:rsid w:val="008B3357"/>
    <w:rsid w:val="008B5405"/>
    <w:rsid w:val="008B5FB8"/>
    <w:rsid w:val="008B6852"/>
    <w:rsid w:val="008B7161"/>
    <w:rsid w:val="008B7A7D"/>
    <w:rsid w:val="008C1676"/>
    <w:rsid w:val="008C3D1F"/>
    <w:rsid w:val="008D3C54"/>
    <w:rsid w:val="008E4C6E"/>
    <w:rsid w:val="008E5F19"/>
    <w:rsid w:val="008F4A43"/>
    <w:rsid w:val="008F54FE"/>
    <w:rsid w:val="009000EE"/>
    <w:rsid w:val="00900794"/>
    <w:rsid w:val="00904BC0"/>
    <w:rsid w:val="00906A69"/>
    <w:rsid w:val="00912F58"/>
    <w:rsid w:val="0091563D"/>
    <w:rsid w:val="00915D08"/>
    <w:rsid w:val="009226FA"/>
    <w:rsid w:val="00931AB1"/>
    <w:rsid w:val="00932984"/>
    <w:rsid w:val="00941BEB"/>
    <w:rsid w:val="00942F7A"/>
    <w:rsid w:val="00945752"/>
    <w:rsid w:val="00946E75"/>
    <w:rsid w:val="00947761"/>
    <w:rsid w:val="0095155B"/>
    <w:rsid w:val="009518A9"/>
    <w:rsid w:val="0095443A"/>
    <w:rsid w:val="00956222"/>
    <w:rsid w:val="00957F74"/>
    <w:rsid w:val="009639BA"/>
    <w:rsid w:val="00966756"/>
    <w:rsid w:val="00967508"/>
    <w:rsid w:val="00970AD0"/>
    <w:rsid w:val="00973410"/>
    <w:rsid w:val="00980194"/>
    <w:rsid w:val="009915C2"/>
    <w:rsid w:val="00995F2F"/>
    <w:rsid w:val="009A491B"/>
    <w:rsid w:val="009A595D"/>
    <w:rsid w:val="009A7386"/>
    <w:rsid w:val="009B02B0"/>
    <w:rsid w:val="009B044B"/>
    <w:rsid w:val="009B139B"/>
    <w:rsid w:val="009B144F"/>
    <w:rsid w:val="009B47E8"/>
    <w:rsid w:val="009B48C3"/>
    <w:rsid w:val="009B6E05"/>
    <w:rsid w:val="009C05BB"/>
    <w:rsid w:val="009C6D78"/>
    <w:rsid w:val="009D0D9D"/>
    <w:rsid w:val="009D1480"/>
    <w:rsid w:val="009D3429"/>
    <w:rsid w:val="009D4E35"/>
    <w:rsid w:val="009F0AA6"/>
    <w:rsid w:val="009F2F85"/>
    <w:rsid w:val="00A0428C"/>
    <w:rsid w:val="00A04D75"/>
    <w:rsid w:val="00A1344D"/>
    <w:rsid w:val="00A14DF5"/>
    <w:rsid w:val="00A1719B"/>
    <w:rsid w:val="00A17669"/>
    <w:rsid w:val="00A24A78"/>
    <w:rsid w:val="00A26E2C"/>
    <w:rsid w:val="00A273A8"/>
    <w:rsid w:val="00A2798A"/>
    <w:rsid w:val="00A3123D"/>
    <w:rsid w:val="00A32AA0"/>
    <w:rsid w:val="00A34A9B"/>
    <w:rsid w:val="00A361C8"/>
    <w:rsid w:val="00A41DF4"/>
    <w:rsid w:val="00A424A2"/>
    <w:rsid w:val="00A45C43"/>
    <w:rsid w:val="00A478CD"/>
    <w:rsid w:val="00A500B4"/>
    <w:rsid w:val="00A56A89"/>
    <w:rsid w:val="00A6264D"/>
    <w:rsid w:val="00A64188"/>
    <w:rsid w:val="00A73978"/>
    <w:rsid w:val="00A77627"/>
    <w:rsid w:val="00A77E1B"/>
    <w:rsid w:val="00A80862"/>
    <w:rsid w:val="00A8345B"/>
    <w:rsid w:val="00A863B1"/>
    <w:rsid w:val="00A87E23"/>
    <w:rsid w:val="00A91EF4"/>
    <w:rsid w:val="00A92760"/>
    <w:rsid w:val="00A9278E"/>
    <w:rsid w:val="00A96B66"/>
    <w:rsid w:val="00AA33B0"/>
    <w:rsid w:val="00AA3F96"/>
    <w:rsid w:val="00AA652A"/>
    <w:rsid w:val="00AB063F"/>
    <w:rsid w:val="00AB11A8"/>
    <w:rsid w:val="00AB13CB"/>
    <w:rsid w:val="00AB54DF"/>
    <w:rsid w:val="00AB7F79"/>
    <w:rsid w:val="00AC6B00"/>
    <w:rsid w:val="00AC6F03"/>
    <w:rsid w:val="00AD4415"/>
    <w:rsid w:val="00AD47CE"/>
    <w:rsid w:val="00AD6D23"/>
    <w:rsid w:val="00AD7E03"/>
    <w:rsid w:val="00AE07E4"/>
    <w:rsid w:val="00AE2196"/>
    <w:rsid w:val="00AE36A4"/>
    <w:rsid w:val="00AE42DF"/>
    <w:rsid w:val="00AE6EA6"/>
    <w:rsid w:val="00AF223E"/>
    <w:rsid w:val="00AF275A"/>
    <w:rsid w:val="00AF3BA8"/>
    <w:rsid w:val="00B013B5"/>
    <w:rsid w:val="00B06787"/>
    <w:rsid w:val="00B10182"/>
    <w:rsid w:val="00B1660E"/>
    <w:rsid w:val="00B17744"/>
    <w:rsid w:val="00B22698"/>
    <w:rsid w:val="00B26D53"/>
    <w:rsid w:val="00B3126F"/>
    <w:rsid w:val="00B419CD"/>
    <w:rsid w:val="00B43936"/>
    <w:rsid w:val="00B43F65"/>
    <w:rsid w:val="00B4659F"/>
    <w:rsid w:val="00B53BD9"/>
    <w:rsid w:val="00B60A12"/>
    <w:rsid w:val="00B64329"/>
    <w:rsid w:val="00B64F2A"/>
    <w:rsid w:val="00B6579A"/>
    <w:rsid w:val="00B70E26"/>
    <w:rsid w:val="00B74836"/>
    <w:rsid w:val="00B823FE"/>
    <w:rsid w:val="00B8273C"/>
    <w:rsid w:val="00B85A07"/>
    <w:rsid w:val="00B86E7D"/>
    <w:rsid w:val="00B87076"/>
    <w:rsid w:val="00B87623"/>
    <w:rsid w:val="00B90A06"/>
    <w:rsid w:val="00B94E9B"/>
    <w:rsid w:val="00BA088E"/>
    <w:rsid w:val="00BA47CB"/>
    <w:rsid w:val="00BA53E8"/>
    <w:rsid w:val="00BB5DC2"/>
    <w:rsid w:val="00BC6C78"/>
    <w:rsid w:val="00BC7141"/>
    <w:rsid w:val="00BC79F8"/>
    <w:rsid w:val="00BE1A5F"/>
    <w:rsid w:val="00BE5D73"/>
    <w:rsid w:val="00BF2467"/>
    <w:rsid w:val="00BF4581"/>
    <w:rsid w:val="00BF664F"/>
    <w:rsid w:val="00C03CC1"/>
    <w:rsid w:val="00C042FE"/>
    <w:rsid w:val="00C04AE9"/>
    <w:rsid w:val="00C04D56"/>
    <w:rsid w:val="00C06A2C"/>
    <w:rsid w:val="00C112C1"/>
    <w:rsid w:val="00C12D70"/>
    <w:rsid w:val="00C13334"/>
    <w:rsid w:val="00C14DA1"/>
    <w:rsid w:val="00C166F8"/>
    <w:rsid w:val="00C22E02"/>
    <w:rsid w:val="00C23389"/>
    <w:rsid w:val="00C267F1"/>
    <w:rsid w:val="00C30463"/>
    <w:rsid w:val="00C30A9A"/>
    <w:rsid w:val="00C34E2D"/>
    <w:rsid w:val="00C459D6"/>
    <w:rsid w:val="00C4689E"/>
    <w:rsid w:val="00C627D5"/>
    <w:rsid w:val="00C73829"/>
    <w:rsid w:val="00C80ADA"/>
    <w:rsid w:val="00C82064"/>
    <w:rsid w:val="00C827C0"/>
    <w:rsid w:val="00C8305A"/>
    <w:rsid w:val="00C90B7B"/>
    <w:rsid w:val="00C925D2"/>
    <w:rsid w:val="00C95425"/>
    <w:rsid w:val="00C95624"/>
    <w:rsid w:val="00CA0D6F"/>
    <w:rsid w:val="00CA1C13"/>
    <w:rsid w:val="00CB743C"/>
    <w:rsid w:val="00CC3614"/>
    <w:rsid w:val="00CC4321"/>
    <w:rsid w:val="00CC4827"/>
    <w:rsid w:val="00CD3BC2"/>
    <w:rsid w:val="00CD51E2"/>
    <w:rsid w:val="00CD7067"/>
    <w:rsid w:val="00CD71A5"/>
    <w:rsid w:val="00CE1186"/>
    <w:rsid w:val="00CE2DA0"/>
    <w:rsid w:val="00CF3116"/>
    <w:rsid w:val="00CF6A00"/>
    <w:rsid w:val="00CF7B92"/>
    <w:rsid w:val="00D05D08"/>
    <w:rsid w:val="00D101C5"/>
    <w:rsid w:val="00D136FD"/>
    <w:rsid w:val="00D1615F"/>
    <w:rsid w:val="00D20693"/>
    <w:rsid w:val="00D23F55"/>
    <w:rsid w:val="00D32C52"/>
    <w:rsid w:val="00D33D32"/>
    <w:rsid w:val="00D3702A"/>
    <w:rsid w:val="00D41AEC"/>
    <w:rsid w:val="00D4212C"/>
    <w:rsid w:val="00D426BF"/>
    <w:rsid w:val="00D42C5E"/>
    <w:rsid w:val="00D43454"/>
    <w:rsid w:val="00D47878"/>
    <w:rsid w:val="00D50F9B"/>
    <w:rsid w:val="00D52F14"/>
    <w:rsid w:val="00D530C5"/>
    <w:rsid w:val="00D6228D"/>
    <w:rsid w:val="00D62E14"/>
    <w:rsid w:val="00D70729"/>
    <w:rsid w:val="00D70AA0"/>
    <w:rsid w:val="00D73581"/>
    <w:rsid w:val="00D7490E"/>
    <w:rsid w:val="00D74A31"/>
    <w:rsid w:val="00D756DF"/>
    <w:rsid w:val="00D835E0"/>
    <w:rsid w:val="00D840C9"/>
    <w:rsid w:val="00D96E14"/>
    <w:rsid w:val="00DB783D"/>
    <w:rsid w:val="00DC17BD"/>
    <w:rsid w:val="00DC1D98"/>
    <w:rsid w:val="00DC3016"/>
    <w:rsid w:val="00DC4261"/>
    <w:rsid w:val="00DC652B"/>
    <w:rsid w:val="00DC7B1F"/>
    <w:rsid w:val="00DD016C"/>
    <w:rsid w:val="00DD42D1"/>
    <w:rsid w:val="00DD79F9"/>
    <w:rsid w:val="00DE0C02"/>
    <w:rsid w:val="00DE0C98"/>
    <w:rsid w:val="00DE0EDC"/>
    <w:rsid w:val="00DE6B47"/>
    <w:rsid w:val="00DE704A"/>
    <w:rsid w:val="00DF59A5"/>
    <w:rsid w:val="00E12C83"/>
    <w:rsid w:val="00E137BE"/>
    <w:rsid w:val="00E16D42"/>
    <w:rsid w:val="00E171C6"/>
    <w:rsid w:val="00E26B34"/>
    <w:rsid w:val="00E272CD"/>
    <w:rsid w:val="00E275C4"/>
    <w:rsid w:val="00E31A35"/>
    <w:rsid w:val="00E352EF"/>
    <w:rsid w:val="00E35F0F"/>
    <w:rsid w:val="00E37E31"/>
    <w:rsid w:val="00E44AA1"/>
    <w:rsid w:val="00E45CBF"/>
    <w:rsid w:val="00E464BF"/>
    <w:rsid w:val="00E5545C"/>
    <w:rsid w:val="00E619C3"/>
    <w:rsid w:val="00E64CDF"/>
    <w:rsid w:val="00E73A86"/>
    <w:rsid w:val="00E74649"/>
    <w:rsid w:val="00E770AB"/>
    <w:rsid w:val="00E802C5"/>
    <w:rsid w:val="00E80405"/>
    <w:rsid w:val="00E86C81"/>
    <w:rsid w:val="00E8710A"/>
    <w:rsid w:val="00E936AD"/>
    <w:rsid w:val="00E95D48"/>
    <w:rsid w:val="00E976A4"/>
    <w:rsid w:val="00E978AB"/>
    <w:rsid w:val="00E97C12"/>
    <w:rsid w:val="00EA386B"/>
    <w:rsid w:val="00EA3D54"/>
    <w:rsid w:val="00EA5574"/>
    <w:rsid w:val="00EB1213"/>
    <w:rsid w:val="00EB4B50"/>
    <w:rsid w:val="00EB5964"/>
    <w:rsid w:val="00EC125E"/>
    <w:rsid w:val="00EC772D"/>
    <w:rsid w:val="00ED0B4E"/>
    <w:rsid w:val="00ED1556"/>
    <w:rsid w:val="00ED1711"/>
    <w:rsid w:val="00ED2FBD"/>
    <w:rsid w:val="00ED4FE5"/>
    <w:rsid w:val="00EE0210"/>
    <w:rsid w:val="00EE21BF"/>
    <w:rsid w:val="00EE23DA"/>
    <w:rsid w:val="00EE5379"/>
    <w:rsid w:val="00EF5942"/>
    <w:rsid w:val="00EF66DD"/>
    <w:rsid w:val="00EF6A61"/>
    <w:rsid w:val="00EF7B59"/>
    <w:rsid w:val="00F02231"/>
    <w:rsid w:val="00F11ACF"/>
    <w:rsid w:val="00F23D9C"/>
    <w:rsid w:val="00F27E38"/>
    <w:rsid w:val="00F37724"/>
    <w:rsid w:val="00F50305"/>
    <w:rsid w:val="00F51BFF"/>
    <w:rsid w:val="00F527A2"/>
    <w:rsid w:val="00F578EF"/>
    <w:rsid w:val="00F61481"/>
    <w:rsid w:val="00F61BC8"/>
    <w:rsid w:val="00F632AC"/>
    <w:rsid w:val="00F719BE"/>
    <w:rsid w:val="00F825EB"/>
    <w:rsid w:val="00F836CE"/>
    <w:rsid w:val="00F86DF2"/>
    <w:rsid w:val="00F906B6"/>
    <w:rsid w:val="00F97806"/>
    <w:rsid w:val="00FA3BF7"/>
    <w:rsid w:val="00FA48E2"/>
    <w:rsid w:val="00FA7033"/>
    <w:rsid w:val="00FC5F90"/>
    <w:rsid w:val="00FC624F"/>
    <w:rsid w:val="00FD1F1B"/>
    <w:rsid w:val="00FE6347"/>
    <w:rsid w:val="00FF2746"/>
    <w:rsid w:val="0102163D"/>
    <w:rsid w:val="012C526F"/>
    <w:rsid w:val="012F7891"/>
    <w:rsid w:val="01A83ED8"/>
    <w:rsid w:val="01B500F6"/>
    <w:rsid w:val="02325382"/>
    <w:rsid w:val="02885902"/>
    <w:rsid w:val="02B300B6"/>
    <w:rsid w:val="02C4058F"/>
    <w:rsid w:val="02D926E8"/>
    <w:rsid w:val="02E36EDD"/>
    <w:rsid w:val="032628A0"/>
    <w:rsid w:val="03465005"/>
    <w:rsid w:val="038C6FFE"/>
    <w:rsid w:val="03C93C09"/>
    <w:rsid w:val="040C1C82"/>
    <w:rsid w:val="053E74E6"/>
    <w:rsid w:val="05903F91"/>
    <w:rsid w:val="05B743EA"/>
    <w:rsid w:val="05D256ED"/>
    <w:rsid w:val="05E50DF2"/>
    <w:rsid w:val="06337573"/>
    <w:rsid w:val="06741F0A"/>
    <w:rsid w:val="06ED70CE"/>
    <w:rsid w:val="070C4681"/>
    <w:rsid w:val="073556DE"/>
    <w:rsid w:val="076D7A47"/>
    <w:rsid w:val="0777648F"/>
    <w:rsid w:val="07A4256C"/>
    <w:rsid w:val="07D931AC"/>
    <w:rsid w:val="08077390"/>
    <w:rsid w:val="08563FD5"/>
    <w:rsid w:val="085D0526"/>
    <w:rsid w:val="08777793"/>
    <w:rsid w:val="088E3C02"/>
    <w:rsid w:val="08B143BB"/>
    <w:rsid w:val="08DF582F"/>
    <w:rsid w:val="08FF42D6"/>
    <w:rsid w:val="090A6EE5"/>
    <w:rsid w:val="091B56F3"/>
    <w:rsid w:val="09C74A76"/>
    <w:rsid w:val="09E46584"/>
    <w:rsid w:val="09EA4D05"/>
    <w:rsid w:val="0A1E5CEC"/>
    <w:rsid w:val="0A2B579F"/>
    <w:rsid w:val="0A4E4672"/>
    <w:rsid w:val="0A5E29BE"/>
    <w:rsid w:val="0AA73501"/>
    <w:rsid w:val="0AA879C0"/>
    <w:rsid w:val="0AFF7DC1"/>
    <w:rsid w:val="0B4F1954"/>
    <w:rsid w:val="0B68585A"/>
    <w:rsid w:val="0C274EF7"/>
    <w:rsid w:val="0C8E175C"/>
    <w:rsid w:val="0C8F7DC5"/>
    <w:rsid w:val="0CAE5C85"/>
    <w:rsid w:val="0D2B61F6"/>
    <w:rsid w:val="0D6C6406"/>
    <w:rsid w:val="0D7C3DC9"/>
    <w:rsid w:val="0D837D9E"/>
    <w:rsid w:val="0DE60D26"/>
    <w:rsid w:val="0DFA36D1"/>
    <w:rsid w:val="0E0E6DF2"/>
    <w:rsid w:val="0E102B78"/>
    <w:rsid w:val="0E1227A5"/>
    <w:rsid w:val="0E162CBD"/>
    <w:rsid w:val="0E55084B"/>
    <w:rsid w:val="0E977993"/>
    <w:rsid w:val="0EC20BF1"/>
    <w:rsid w:val="0EDE619E"/>
    <w:rsid w:val="0F1F45CA"/>
    <w:rsid w:val="0F9230D5"/>
    <w:rsid w:val="0FAF4F31"/>
    <w:rsid w:val="0FCC498E"/>
    <w:rsid w:val="1070749E"/>
    <w:rsid w:val="108D140A"/>
    <w:rsid w:val="10E7199E"/>
    <w:rsid w:val="113015EF"/>
    <w:rsid w:val="11361125"/>
    <w:rsid w:val="117838FF"/>
    <w:rsid w:val="1242501C"/>
    <w:rsid w:val="129812A0"/>
    <w:rsid w:val="12DD3316"/>
    <w:rsid w:val="12E94196"/>
    <w:rsid w:val="12F17C05"/>
    <w:rsid w:val="139F4BF8"/>
    <w:rsid w:val="13A60507"/>
    <w:rsid w:val="13A96734"/>
    <w:rsid w:val="13C327F4"/>
    <w:rsid w:val="14573EB0"/>
    <w:rsid w:val="14F97517"/>
    <w:rsid w:val="14FC21E4"/>
    <w:rsid w:val="15124F4A"/>
    <w:rsid w:val="154B3CDA"/>
    <w:rsid w:val="1566629F"/>
    <w:rsid w:val="156A0D16"/>
    <w:rsid w:val="15BA53CF"/>
    <w:rsid w:val="15E218CE"/>
    <w:rsid w:val="15E528A4"/>
    <w:rsid w:val="16030414"/>
    <w:rsid w:val="16567A15"/>
    <w:rsid w:val="1671041F"/>
    <w:rsid w:val="168B260D"/>
    <w:rsid w:val="16B8031D"/>
    <w:rsid w:val="16DE6611"/>
    <w:rsid w:val="16FA689F"/>
    <w:rsid w:val="17244396"/>
    <w:rsid w:val="172C6BAA"/>
    <w:rsid w:val="17934E54"/>
    <w:rsid w:val="17974DC1"/>
    <w:rsid w:val="17BB155D"/>
    <w:rsid w:val="17DF3300"/>
    <w:rsid w:val="17DF7525"/>
    <w:rsid w:val="17E64E89"/>
    <w:rsid w:val="185A31BC"/>
    <w:rsid w:val="18C924BB"/>
    <w:rsid w:val="18E050AA"/>
    <w:rsid w:val="193C786B"/>
    <w:rsid w:val="19A56671"/>
    <w:rsid w:val="19AD34C1"/>
    <w:rsid w:val="1AC273E4"/>
    <w:rsid w:val="1B22449C"/>
    <w:rsid w:val="1B5D6847"/>
    <w:rsid w:val="1BA40D1D"/>
    <w:rsid w:val="1BFA69D1"/>
    <w:rsid w:val="1BFF2874"/>
    <w:rsid w:val="1C1D57E8"/>
    <w:rsid w:val="1C346708"/>
    <w:rsid w:val="1C360986"/>
    <w:rsid w:val="1C4D6A95"/>
    <w:rsid w:val="1C686D6A"/>
    <w:rsid w:val="1C7E4D0C"/>
    <w:rsid w:val="1CCC06F5"/>
    <w:rsid w:val="1CD501DC"/>
    <w:rsid w:val="1CDB0EA8"/>
    <w:rsid w:val="1D192DFA"/>
    <w:rsid w:val="1D751194"/>
    <w:rsid w:val="1DAA19A0"/>
    <w:rsid w:val="1E287AFE"/>
    <w:rsid w:val="1E366C34"/>
    <w:rsid w:val="1EBC3929"/>
    <w:rsid w:val="1EC50A6E"/>
    <w:rsid w:val="1F4453A2"/>
    <w:rsid w:val="1FD70E05"/>
    <w:rsid w:val="1FFF54D5"/>
    <w:rsid w:val="200F18E5"/>
    <w:rsid w:val="2016654B"/>
    <w:rsid w:val="201C7B58"/>
    <w:rsid w:val="202D0551"/>
    <w:rsid w:val="204039AE"/>
    <w:rsid w:val="2041670A"/>
    <w:rsid w:val="209710FF"/>
    <w:rsid w:val="20C13EAC"/>
    <w:rsid w:val="20E4044A"/>
    <w:rsid w:val="211537D1"/>
    <w:rsid w:val="213E21A4"/>
    <w:rsid w:val="21693CD8"/>
    <w:rsid w:val="21A62829"/>
    <w:rsid w:val="21B45AF1"/>
    <w:rsid w:val="22723BD0"/>
    <w:rsid w:val="22866796"/>
    <w:rsid w:val="22AF168F"/>
    <w:rsid w:val="22E3576F"/>
    <w:rsid w:val="22F72B08"/>
    <w:rsid w:val="23491100"/>
    <w:rsid w:val="235B5827"/>
    <w:rsid w:val="237818E3"/>
    <w:rsid w:val="238408EA"/>
    <w:rsid w:val="23BB3C36"/>
    <w:rsid w:val="23BD4DE8"/>
    <w:rsid w:val="23D53F2C"/>
    <w:rsid w:val="245708DE"/>
    <w:rsid w:val="247061C3"/>
    <w:rsid w:val="24E94533"/>
    <w:rsid w:val="25054233"/>
    <w:rsid w:val="251059F4"/>
    <w:rsid w:val="259124D5"/>
    <w:rsid w:val="2594407E"/>
    <w:rsid w:val="25BE11E1"/>
    <w:rsid w:val="25C248EF"/>
    <w:rsid w:val="2682171A"/>
    <w:rsid w:val="26A22B4F"/>
    <w:rsid w:val="26A53EF3"/>
    <w:rsid w:val="26B53F52"/>
    <w:rsid w:val="272758B6"/>
    <w:rsid w:val="27627BAC"/>
    <w:rsid w:val="278B474B"/>
    <w:rsid w:val="27A2095E"/>
    <w:rsid w:val="27B74FF4"/>
    <w:rsid w:val="27CF1CFF"/>
    <w:rsid w:val="27D865EB"/>
    <w:rsid w:val="27F7282E"/>
    <w:rsid w:val="2811702C"/>
    <w:rsid w:val="281E5115"/>
    <w:rsid w:val="290704C6"/>
    <w:rsid w:val="295612DE"/>
    <w:rsid w:val="296563AC"/>
    <w:rsid w:val="29854A67"/>
    <w:rsid w:val="2A46157B"/>
    <w:rsid w:val="2A711C87"/>
    <w:rsid w:val="2AB2130D"/>
    <w:rsid w:val="2AF41FC2"/>
    <w:rsid w:val="2B0019A5"/>
    <w:rsid w:val="2C441E14"/>
    <w:rsid w:val="2C515F98"/>
    <w:rsid w:val="2CA6384B"/>
    <w:rsid w:val="2D032CF2"/>
    <w:rsid w:val="2D0976FA"/>
    <w:rsid w:val="2D272563"/>
    <w:rsid w:val="2D5D5983"/>
    <w:rsid w:val="2D80017A"/>
    <w:rsid w:val="2D8D119D"/>
    <w:rsid w:val="2D966D05"/>
    <w:rsid w:val="2DE64BD4"/>
    <w:rsid w:val="2E81023D"/>
    <w:rsid w:val="2F1D2750"/>
    <w:rsid w:val="2F214938"/>
    <w:rsid w:val="2F4665BC"/>
    <w:rsid w:val="2F971030"/>
    <w:rsid w:val="2FB01D49"/>
    <w:rsid w:val="2FBD7211"/>
    <w:rsid w:val="2FC71DF1"/>
    <w:rsid w:val="30010B15"/>
    <w:rsid w:val="303E464A"/>
    <w:rsid w:val="30C812D5"/>
    <w:rsid w:val="31394BC5"/>
    <w:rsid w:val="314D0089"/>
    <w:rsid w:val="31F63F22"/>
    <w:rsid w:val="32144985"/>
    <w:rsid w:val="33434546"/>
    <w:rsid w:val="33B47A8A"/>
    <w:rsid w:val="33CD6DCE"/>
    <w:rsid w:val="342F5937"/>
    <w:rsid w:val="35224E6B"/>
    <w:rsid w:val="357450D5"/>
    <w:rsid w:val="35797560"/>
    <w:rsid w:val="364B4832"/>
    <w:rsid w:val="36852D9E"/>
    <w:rsid w:val="36882D37"/>
    <w:rsid w:val="368928CD"/>
    <w:rsid w:val="369B50AE"/>
    <w:rsid w:val="376477E4"/>
    <w:rsid w:val="376F4971"/>
    <w:rsid w:val="37B741B3"/>
    <w:rsid w:val="3807600F"/>
    <w:rsid w:val="38354F52"/>
    <w:rsid w:val="38372BFD"/>
    <w:rsid w:val="388B7A09"/>
    <w:rsid w:val="38B84501"/>
    <w:rsid w:val="38D84EA3"/>
    <w:rsid w:val="393C121A"/>
    <w:rsid w:val="3956058D"/>
    <w:rsid w:val="398A7A28"/>
    <w:rsid w:val="398B44CE"/>
    <w:rsid w:val="3A317790"/>
    <w:rsid w:val="3A3667D2"/>
    <w:rsid w:val="3A3C166A"/>
    <w:rsid w:val="3A5504B8"/>
    <w:rsid w:val="3A6D0C7D"/>
    <w:rsid w:val="3A7E1B9C"/>
    <w:rsid w:val="3ABA2CF3"/>
    <w:rsid w:val="3AD04B2B"/>
    <w:rsid w:val="3B121BA3"/>
    <w:rsid w:val="3B330CAB"/>
    <w:rsid w:val="3B534FA5"/>
    <w:rsid w:val="3B9A1C8B"/>
    <w:rsid w:val="3BB37CB4"/>
    <w:rsid w:val="3BB97B8D"/>
    <w:rsid w:val="3BC349B5"/>
    <w:rsid w:val="3BE21ED2"/>
    <w:rsid w:val="3BE703B9"/>
    <w:rsid w:val="3C3C3FCD"/>
    <w:rsid w:val="3C6C532A"/>
    <w:rsid w:val="3C89024E"/>
    <w:rsid w:val="3CA87F44"/>
    <w:rsid w:val="3CFA7A3F"/>
    <w:rsid w:val="3D3C22B6"/>
    <w:rsid w:val="3D546FCD"/>
    <w:rsid w:val="3D7B5AED"/>
    <w:rsid w:val="3D835684"/>
    <w:rsid w:val="3DC15EDC"/>
    <w:rsid w:val="3DE860DF"/>
    <w:rsid w:val="3DFB283E"/>
    <w:rsid w:val="3EAF084C"/>
    <w:rsid w:val="3EB17F8A"/>
    <w:rsid w:val="3EF56AC1"/>
    <w:rsid w:val="3F0436ED"/>
    <w:rsid w:val="3F18044E"/>
    <w:rsid w:val="3F791C95"/>
    <w:rsid w:val="3FCD30FD"/>
    <w:rsid w:val="4061225A"/>
    <w:rsid w:val="40633C67"/>
    <w:rsid w:val="40767F70"/>
    <w:rsid w:val="417219CF"/>
    <w:rsid w:val="41DB5628"/>
    <w:rsid w:val="41F7054A"/>
    <w:rsid w:val="421A5D4D"/>
    <w:rsid w:val="424E3692"/>
    <w:rsid w:val="42E9044B"/>
    <w:rsid w:val="436A00CF"/>
    <w:rsid w:val="437D54BE"/>
    <w:rsid w:val="438D3523"/>
    <w:rsid w:val="440F317A"/>
    <w:rsid w:val="44797F00"/>
    <w:rsid w:val="44837A03"/>
    <w:rsid w:val="44A77507"/>
    <w:rsid w:val="44AB044F"/>
    <w:rsid w:val="44BE5E44"/>
    <w:rsid w:val="44CC780D"/>
    <w:rsid w:val="44E030F6"/>
    <w:rsid w:val="4555124A"/>
    <w:rsid w:val="457F11C7"/>
    <w:rsid w:val="45A36716"/>
    <w:rsid w:val="45AF27D7"/>
    <w:rsid w:val="45BB2282"/>
    <w:rsid w:val="45FE601D"/>
    <w:rsid w:val="461F1D91"/>
    <w:rsid w:val="46403DAE"/>
    <w:rsid w:val="46BC583B"/>
    <w:rsid w:val="46CC4187"/>
    <w:rsid w:val="46D90666"/>
    <w:rsid w:val="47212A6C"/>
    <w:rsid w:val="47230A51"/>
    <w:rsid w:val="472D30B2"/>
    <w:rsid w:val="475D1D8F"/>
    <w:rsid w:val="47737558"/>
    <w:rsid w:val="47E0562A"/>
    <w:rsid w:val="47F356DF"/>
    <w:rsid w:val="48707469"/>
    <w:rsid w:val="488223BB"/>
    <w:rsid w:val="48961091"/>
    <w:rsid w:val="48B01BB0"/>
    <w:rsid w:val="48B42EDD"/>
    <w:rsid w:val="48C276CF"/>
    <w:rsid w:val="48F65F2A"/>
    <w:rsid w:val="48FA7976"/>
    <w:rsid w:val="490702A3"/>
    <w:rsid w:val="491B1F97"/>
    <w:rsid w:val="495F32A2"/>
    <w:rsid w:val="49CA30BA"/>
    <w:rsid w:val="4A15635B"/>
    <w:rsid w:val="4A311257"/>
    <w:rsid w:val="4A723167"/>
    <w:rsid w:val="4AFC6B98"/>
    <w:rsid w:val="4B3008E7"/>
    <w:rsid w:val="4C1D6DF0"/>
    <w:rsid w:val="4C8C343B"/>
    <w:rsid w:val="4CB75934"/>
    <w:rsid w:val="4CF50543"/>
    <w:rsid w:val="4D0045BB"/>
    <w:rsid w:val="4D053701"/>
    <w:rsid w:val="4D1D67F6"/>
    <w:rsid w:val="4D252CB2"/>
    <w:rsid w:val="4D311ABF"/>
    <w:rsid w:val="4D7F3090"/>
    <w:rsid w:val="4DA127B2"/>
    <w:rsid w:val="4DEE651A"/>
    <w:rsid w:val="4E135862"/>
    <w:rsid w:val="4EC76D62"/>
    <w:rsid w:val="4EF563FD"/>
    <w:rsid w:val="4F0E717A"/>
    <w:rsid w:val="4F236ADB"/>
    <w:rsid w:val="4F9F3223"/>
    <w:rsid w:val="4FA11249"/>
    <w:rsid w:val="4FFF027F"/>
    <w:rsid w:val="50B657C6"/>
    <w:rsid w:val="50CA37A1"/>
    <w:rsid w:val="50D570F4"/>
    <w:rsid w:val="50ED2304"/>
    <w:rsid w:val="513124CC"/>
    <w:rsid w:val="513C5C12"/>
    <w:rsid w:val="51956581"/>
    <w:rsid w:val="51BC6E87"/>
    <w:rsid w:val="52A36658"/>
    <w:rsid w:val="52B6200C"/>
    <w:rsid w:val="52C92E8D"/>
    <w:rsid w:val="53114F36"/>
    <w:rsid w:val="53570D47"/>
    <w:rsid w:val="53712A4E"/>
    <w:rsid w:val="53963238"/>
    <w:rsid w:val="53E344FA"/>
    <w:rsid w:val="54260108"/>
    <w:rsid w:val="548B7B21"/>
    <w:rsid w:val="54C57009"/>
    <w:rsid w:val="553C1D51"/>
    <w:rsid w:val="5556526A"/>
    <w:rsid w:val="55A44A45"/>
    <w:rsid w:val="55B961B3"/>
    <w:rsid w:val="56217A34"/>
    <w:rsid w:val="563607FD"/>
    <w:rsid w:val="56507077"/>
    <w:rsid w:val="5667259F"/>
    <w:rsid w:val="56CF0ED3"/>
    <w:rsid w:val="56E5689A"/>
    <w:rsid w:val="570948FD"/>
    <w:rsid w:val="5743487F"/>
    <w:rsid w:val="57731FC1"/>
    <w:rsid w:val="577F7B41"/>
    <w:rsid w:val="57810061"/>
    <w:rsid w:val="57BD4896"/>
    <w:rsid w:val="57DD2EDC"/>
    <w:rsid w:val="57E3631B"/>
    <w:rsid w:val="57E76692"/>
    <w:rsid w:val="580D3EDF"/>
    <w:rsid w:val="5818198A"/>
    <w:rsid w:val="58725A4C"/>
    <w:rsid w:val="58884D19"/>
    <w:rsid w:val="58A00A28"/>
    <w:rsid w:val="59581CB0"/>
    <w:rsid w:val="597742A5"/>
    <w:rsid w:val="5A0777F0"/>
    <w:rsid w:val="5A154753"/>
    <w:rsid w:val="5A7F3900"/>
    <w:rsid w:val="5A8E44F3"/>
    <w:rsid w:val="5AA4012B"/>
    <w:rsid w:val="5AD57B42"/>
    <w:rsid w:val="5B5F45C4"/>
    <w:rsid w:val="5B7A6C90"/>
    <w:rsid w:val="5B841BB9"/>
    <w:rsid w:val="5B917284"/>
    <w:rsid w:val="5BAB4E03"/>
    <w:rsid w:val="5BB674E8"/>
    <w:rsid w:val="5BE4167C"/>
    <w:rsid w:val="5C421135"/>
    <w:rsid w:val="5CA7670D"/>
    <w:rsid w:val="5D3C0A1B"/>
    <w:rsid w:val="5D592C2F"/>
    <w:rsid w:val="5D853DE9"/>
    <w:rsid w:val="5DAC4E27"/>
    <w:rsid w:val="5DB218C2"/>
    <w:rsid w:val="5E2D1910"/>
    <w:rsid w:val="5E4A4B20"/>
    <w:rsid w:val="5E4C7041"/>
    <w:rsid w:val="5E767DC9"/>
    <w:rsid w:val="5ECE7F48"/>
    <w:rsid w:val="5EEE6BC3"/>
    <w:rsid w:val="5F45277C"/>
    <w:rsid w:val="5FC852D8"/>
    <w:rsid w:val="5FD819FB"/>
    <w:rsid w:val="60606540"/>
    <w:rsid w:val="609C3E80"/>
    <w:rsid w:val="60A96E90"/>
    <w:rsid w:val="60D6106E"/>
    <w:rsid w:val="60EC039F"/>
    <w:rsid w:val="60F83DA7"/>
    <w:rsid w:val="6110637B"/>
    <w:rsid w:val="61611898"/>
    <w:rsid w:val="6188724B"/>
    <w:rsid w:val="61B21CD6"/>
    <w:rsid w:val="61B56B96"/>
    <w:rsid w:val="61D67BD4"/>
    <w:rsid w:val="62864C03"/>
    <w:rsid w:val="62970A67"/>
    <w:rsid w:val="62CD1E4F"/>
    <w:rsid w:val="62FD7B97"/>
    <w:rsid w:val="63040A30"/>
    <w:rsid w:val="630A7868"/>
    <w:rsid w:val="638A64A7"/>
    <w:rsid w:val="639E1D4F"/>
    <w:rsid w:val="63A675D8"/>
    <w:rsid w:val="641220B0"/>
    <w:rsid w:val="64310A16"/>
    <w:rsid w:val="64517EF5"/>
    <w:rsid w:val="64A51BD6"/>
    <w:rsid w:val="64F91EF5"/>
    <w:rsid w:val="65057124"/>
    <w:rsid w:val="652B16B6"/>
    <w:rsid w:val="6587120D"/>
    <w:rsid w:val="65DB2E09"/>
    <w:rsid w:val="65F07453"/>
    <w:rsid w:val="65F5578F"/>
    <w:rsid w:val="66174670"/>
    <w:rsid w:val="667F2833"/>
    <w:rsid w:val="66DA372B"/>
    <w:rsid w:val="6702653B"/>
    <w:rsid w:val="671030EB"/>
    <w:rsid w:val="67233AF7"/>
    <w:rsid w:val="67621DCC"/>
    <w:rsid w:val="67765A97"/>
    <w:rsid w:val="677F2E67"/>
    <w:rsid w:val="679C2A95"/>
    <w:rsid w:val="67D17DDB"/>
    <w:rsid w:val="67E36C28"/>
    <w:rsid w:val="67F9428F"/>
    <w:rsid w:val="681579B1"/>
    <w:rsid w:val="683F0F36"/>
    <w:rsid w:val="686801BC"/>
    <w:rsid w:val="68C60A89"/>
    <w:rsid w:val="68E7334E"/>
    <w:rsid w:val="692E6278"/>
    <w:rsid w:val="69442B28"/>
    <w:rsid w:val="697510D0"/>
    <w:rsid w:val="6A82753F"/>
    <w:rsid w:val="6A8438AA"/>
    <w:rsid w:val="6A984E9C"/>
    <w:rsid w:val="6AD40E6B"/>
    <w:rsid w:val="6ADC2764"/>
    <w:rsid w:val="6B392A92"/>
    <w:rsid w:val="6B4F283F"/>
    <w:rsid w:val="6B8C3C5F"/>
    <w:rsid w:val="6BA45484"/>
    <w:rsid w:val="6BEB3DD2"/>
    <w:rsid w:val="6C4516B5"/>
    <w:rsid w:val="6CC60283"/>
    <w:rsid w:val="6E376E20"/>
    <w:rsid w:val="6EA10310"/>
    <w:rsid w:val="6EB87CA0"/>
    <w:rsid w:val="6EBD68F4"/>
    <w:rsid w:val="6F08374F"/>
    <w:rsid w:val="6F477B31"/>
    <w:rsid w:val="6F7B71B7"/>
    <w:rsid w:val="6FDEAC41"/>
    <w:rsid w:val="70257EAD"/>
    <w:rsid w:val="70292722"/>
    <w:rsid w:val="702F46C1"/>
    <w:rsid w:val="705C05E6"/>
    <w:rsid w:val="708F79AC"/>
    <w:rsid w:val="70CA5E24"/>
    <w:rsid w:val="70DA7947"/>
    <w:rsid w:val="70EA6B3D"/>
    <w:rsid w:val="711C6080"/>
    <w:rsid w:val="71A32E24"/>
    <w:rsid w:val="71EA1A96"/>
    <w:rsid w:val="71FC1C96"/>
    <w:rsid w:val="7224136B"/>
    <w:rsid w:val="722E3975"/>
    <w:rsid w:val="7251344C"/>
    <w:rsid w:val="72C63C7F"/>
    <w:rsid w:val="734B35A4"/>
    <w:rsid w:val="7377069B"/>
    <w:rsid w:val="737A2E24"/>
    <w:rsid w:val="73AA7DC7"/>
    <w:rsid w:val="74463A57"/>
    <w:rsid w:val="74687B08"/>
    <w:rsid w:val="74752091"/>
    <w:rsid w:val="74C069D7"/>
    <w:rsid w:val="754C7286"/>
    <w:rsid w:val="756E6F4E"/>
    <w:rsid w:val="76144E2D"/>
    <w:rsid w:val="766A78D7"/>
    <w:rsid w:val="768C5395"/>
    <w:rsid w:val="768F5DAA"/>
    <w:rsid w:val="76960B5D"/>
    <w:rsid w:val="76A27A89"/>
    <w:rsid w:val="76AA51DA"/>
    <w:rsid w:val="76B349DE"/>
    <w:rsid w:val="76BB0652"/>
    <w:rsid w:val="76C84DAA"/>
    <w:rsid w:val="76EE7662"/>
    <w:rsid w:val="770B2020"/>
    <w:rsid w:val="77237165"/>
    <w:rsid w:val="773965B9"/>
    <w:rsid w:val="776907E2"/>
    <w:rsid w:val="77735ED2"/>
    <w:rsid w:val="77BC37AC"/>
    <w:rsid w:val="77C160C5"/>
    <w:rsid w:val="77DB26A9"/>
    <w:rsid w:val="781661CF"/>
    <w:rsid w:val="7835246D"/>
    <w:rsid w:val="783D2AE9"/>
    <w:rsid w:val="7885797C"/>
    <w:rsid w:val="788D69F1"/>
    <w:rsid w:val="78CC1A88"/>
    <w:rsid w:val="79805452"/>
    <w:rsid w:val="79BA2F1D"/>
    <w:rsid w:val="79C2212D"/>
    <w:rsid w:val="79FD4B9F"/>
    <w:rsid w:val="7A7B5E57"/>
    <w:rsid w:val="7ACE2DF7"/>
    <w:rsid w:val="7AE26AF3"/>
    <w:rsid w:val="7B09049F"/>
    <w:rsid w:val="7B2C77BC"/>
    <w:rsid w:val="7B4D0E37"/>
    <w:rsid w:val="7B4E7025"/>
    <w:rsid w:val="7B5C1053"/>
    <w:rsid w:val="7B620023"/>
    <w:rsid w:val="7B7A4B58"/>
    <w:rsid w:val="7C923EEE"/>
    <w:rsid w:val="7C9470D8"/>
    <w:rsid w:val="7CE2687B"/>
    <w:rsid w:val="7CE64B6B"/>
    <w:rsid w:val="7D0B4990"/>
    <w:rsid w:val="7D1E3461"/>
    <w:rsid w:val="7D604080"/>
    <w:rsid w:val="7D6447DE"/>
    <w:rsid w:val="7D7355D9"/>
    <w:rsid w:val="7D77535C"/>
    <w:rsid w:val="7D8A0E59"/>
    <w:rsid w:val="7DCD5770"/>
    <w:rsid w:val="7DCF791A"/>
    <w:rsid w:val="7E0323B6"/>
    <w:rsid w:val="7E14734D"/>
    <w:rsid w:val="7E1657D6"/>
    <w:rsid w:val="7E6C5E05"/>
    <w:rsid w:val="7E8F20FD"/>
    <w:rsid w:val="7F0A2072"/>
    <w:rsid w:val="7F0E0D46"/>
    <w:rsid w:val="7F2A6A9E"/>
    <w:rsid w:val="7F3A6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0"/>
    <w:pPr>
      <w:keepNext/>
      <w:keepLines/>
      <w:spacing w:before="340" w:after="330" w:line="578" w:lineRule="auto"/>
      <w:outlineLvl w:val="0"/>
    </w:pPr>
    <w:rPr>
      <w:b/>
      <w:bCs/>
      <w:kern w:val="44"/>
      <w:sz w:val="44"/>
      <w:szCs w:val="4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4">
    <w:name w:val="Normal Indent"/>
    <w:basedOn w:val="1"/>
    <w:qFormat/>
    <w:uiPriority w:val="0"/>
  </w:style>
  <w:style w:type="paragraph" w:styleId="5">
    <w:name w:val="annotation text"/>
    <w:basedOn w:val="1"/>
    <w:link w:val="44"/>
    <w:unhideWhenUsed/>
    <w:qFormat/>
    <w:uiPriority w:val="99"/>
    <w:pPr>
      <w:jc w:val="left"/>
    </w:pPr>
  </w:style>
  <w:style w:type="paragraph" w:styleId="6">
    <w:name w:val="Body Text"/>
    <w:basedOn w:val="1"/>
    <w:link w:val="28"/>
    <w:qFormat/>
    <w:uiPriority w:val="0"/>
    <w:pPr>
      <w:spacing w:after="120"/>
    </w:pPr>
  </w:style>
  <w:style w:type="paragraph" w:styleId="7">
    <w:name w:val="Body Text Indent"/>
    <w:basedOn w:val="1"/>
    <w:next w:val="8"/>
    <w:qFormat/>
    <w:uiPriority w:val="0"/>
    <w:pPr>
      <w:widowControl/>
      <w:spacing w:line="520" w:lineRule="exact"/>
      <w:ind w:firstLine="200" w:firstLineChars="200"/>
      <w:jc w:val="left"/>
    </w:pPr>
    <w:rPr>
      <w:rFonts w:eastAsia="仿宋_GB2312"/>
      <w:kern w:val="0"/>
    </w:rPr>
  </w:style>
  <w:style w:type="paragraph" w:styleId="8">
    <w:name w:val="footer"/>
    <w:basedOn w:val="1"/>
    <w:link w:val="27"/>
    <w:qFormat/>
    <w:uiPriority w:val="99"/>
    <w:pPr>
      <w:tabs>
        <w:tab w:val="center" w:pos="4153"/>
        <w:tab w:val="right" w:pos="8306"/>
      </w:tabs>
      <w:snapToGrid w:val="0"/>
      <w:jc w:val="left"/>
    </w:pPr>
    <w:rPr>
      <w:sz w:val="18"/>
      <w:szCs w:val="18"/>
    </w:rPr>
  </w:style>
  <w:style w:type="paragraph" w:styleId="9">
    <w:name w:val="Plain Text"/>
    <w:basedOn w:val="1"/>
    <w:qFormat/>
    <w:uiPriority w:val="0"/>
    <w:rPr>
      <w:rFonts w:ascii="宋体" w:hAnsi="Courier New" w:cs="Courier New"/>
      <w:szCs w:val="21"/>
    </w:rPr>
  </w:style>
  <w:style w:type="paragraph" w:styleId="10">
    <w:name w:val="Date"/>
    <w:basedOn w:val="1"/>
    <w:next w:val="1"/>
    <w:qFormat/>
    <w:uiPriority w:val="0"/>
    <w:pPr>
      <w:ind w:left="100" w:leftChars="2500"/>
    </w:pPr>
  </w:style>
  <w:style w:type="paragraph" w:styleId="11">
    <w:name w:val="Balloon Text"/>
    <w:basedOn w:val="1"/>
    <w:semiHidden/>
    <w:qFormat/>
    <w:uiPriority w:val="0"/>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5">
    <w:name w:val="Title"/>
    <w:basedOn w:val="1"/>
    <w:qFormat/>
    <w:uiPriority w:val="0"/>
    <w:pPr>
      <w:spacing w:before="240" w:after="60"/>
      <w:jc w:val="center"/>
      <w:outlineLvl w:val="0"/>
    </w:pPr>
    <w:rPr>
      <w:rFonts w:ascii="Cambria" w:hAnsi="Cambria" w:eastAsia="仿宋_GB2312"/>
      <w:b/>
      <w:bCs/>
      <w:sz w:val="32"/>
      <w:szCs w:val="32"/>
    </w:rPr>
  </w:style>
  <w:style w:type="paragraph" w:styleId="16">
    <w:name w:val="annotation subject"/>
    <w:basedOn w:val="5"/>
    <w:next w:val="5"/>
    <w:link w:val="45"/>
    <w:qFormat/>
    <w:uiPriority w:val="0"/>
    <w:rPr>
      <w:b/>
      <w:bCs/>
    </w:rPr>
  </w:style>
  <w:style w:type="paragraph" w:styleId="17">
    <w:name w:val="Body Text First Indent"/>
    <w:basedOn w:val="6"/>
    <w:unhideWhenUsed/>
    <w:qFormat/>
    <w:uiPriority w:val="0"/>
    <w:pPr>
      <w:adjustRightInd w:val="0"/>
      <w:snapToGrid w:val="0"/>
      <w:spacing w:after="0" w:line="590" w:lineRule="atLeast"/>
      <w:ind w:firstLine="200" w:firstLineChars="200"/>
      <w:jc w:val="center"/>
    </w:pPr>
    <w:rPr>
      <w:rFonts w:hint="eastAsia" w:ascii="黑体" w:hAnsi="宋体" w:eastAsia="黑体"/>
      <w:sz w:val="32"/>
      <w:szCs w:val="32"/>
    </w:rPr>
  </w:style>
  <w:style w:type="paragraph" w:styleId="18">
    <w:name w:val="Body Text First Indent 2"/>
    <w:basedOn w:val="7"/>
    <w:next w:val="17"/>
    <w:qFormat/>
    <w:uiPriority w:val="0"/>
    <w:pPr>
      <w:spacing w:before="100" w:beforeAutospacing="1"/>
      <w:ind w:firstLine="420"/>
    </w:p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b/>
      <w:bCs/>
    </w:rPr>
  </w:style>
  <w:style w:type="character" w:styleId="23">
    <w:name w:val="page number"/>
    <w:qFormat/>
    <w:uiPriority w:val="0"/>
  </w:style>
  <w:style w:type="character" w:styleId="24">
    <w:name w:val="Emphasis"/>
    <w:qFormat/>
    <w:uiPriority w:val="20"/>
    <w:rPr>
      <w:i/>
      <w:iCs/>
    </w:rPr>
  </w:style>
  <w:style w:type="character" w:styleId="25">
    <w:name w:val="Hyperlink"/>
    <w:qFormat/>
    <w:uiPriority w:val="0"/>
    <w:rPr>
      <w:color w:val="0000FF"/>
      <w:u w:val="single"/>
    </w:rPr>
  </w:style>
  <w:style w:type="character" w:styleId="26">
    <w:name w:val="annotation reference"/>
    <w:unhideWhenUsed/>
    <w:qFormat/>
    <w:uiPriority w:val="99"/>
    <w:rPr>
      <w:sz w:val="21"/>
      <w:szCs w:val="21"/>
    </w:rPr>
  </w:style>
  <w:style w:type="character" w:customStyle="1" w:styleId="27">
    <w:name w:val="页脚 字符"/>
    <w:link w:val="8"/>
    <w:qFormat/>
    <w:uiPriority w:val="99"/>
    <w:rPr>
      <w:kern w:val="2"/>
      <w:sz w:val="18"/>
      <w:szCs w:val="18"/>
    </w:rPr>
  </w:style>
  <w:style w:type="character" w:customStyle="1" w:styleId="28">
    <w:name w:val="正文文本 字符"/>
    <w:link w:val="6"/>
    <w:qFormat/>
    <w:uiPriority w:val="0"/>
    <w:rPr>
      <w:kern w:val="2"/>
      <w:sz w:val="21"/>
      <w:szCs w:val="24"/>
    </w:rPr>
  </w:style>
  <w:style w:type="character" w:customStyle="1" w:styleId="29">
    <w:name w:val="标题 1 字符"/>
    <w:link w:val="3"/>
    <w:qFormat/>
    <w:uiPriority w:val="0"/>
    <w:rPr>
      <w:b/>
      <w:bCs/>
      <w:kern w:val="44"/>
      <w:sz w:val="44"/>
      <w:szCs w:val="44"/>
    </w:rPr>
  </w:style>
  <w:style w:type="character" w:customStyle="1" w:styleId="30">
    <w:name w:val="10"/>
    <w:qFormat/>
    <w:uiPriority w:val="0"/>
    <w:rPr>
      <w:rFonts w:hint="default" w:ascii="Times New Roman" w:hAnsi="Times New Roman" w:cs="Times New Roman"/>
    </w:rPr>
  </w:style>
  <w:style w:type="character" w:customStyle="1" w:styleId="31">
    <w:name w:val="15"/>
    <w:qFormat/>
    <w:uiPriority w:val="0"/>
    <w:rPr>
      <w:rFonts w:hint="default" w:ascii="Times New Roman" w:hAnsi="Times New Roman" w:cs="Times New Roman"/>
    </w:rPr>
  </w:style>
  <w:style w:type="paragraph" w:customStyle="1" w:styleId="32">
    <w:name w:val="Char1 Char Char Char Char Char Char Char Char Char Char Char Char"/>
    <w:basedOn w:val="1"/>
    <w:qFormat/>
    <w:uiPriority w:val="0"/>
    <w:rPr>
      <w:szCs w:val="20"/>
    </w:rPr>
  </w:style>
  <w:style w:type="paragraph" w:styleId="33">
    <w:name w:val="List Paragraph"/>
    <w:basedOn w:val="1"/>
    <w:qFormat/>
    <w:uiPriority w:val="99"/>
    <w:pPr>
      <w:ind w:firstLine="420" w:firstLineChars="200"/>
    </w:pPr>
  </w:style>
  <w:style w:type="paragraph" w:customStyle="1" w:styleId="34">
    <w:name w:val="Char"/>
    <w:basedOn w:val="1"/>
    <w:qFormat/>
    <w:uiPriority w:val="0"/>
  </w:style>
  <w:style w:type="paragraph" w:customStyle="1" w:styleId="3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6">
    <w:name w:val="Char1 Char Char Char"/>
    <w:basedOn w:val="1"/>
    <w:qFormat/>
    <w:uiPriority w:val="0"/>
    <w:pPr>
      <w:widowControl/>
      <w:spacing w:after="160" w:line="240" w:lineRule="exact"/>
      <w:jc w:val="left"/>
    </w:pPr>
    <w:rPr>
      <w:rFonts w:ascii="Verdana" w:hAnsi="Verdana" w:eastAsia="仿宋_GB2312"/>
      <w:kern w:val="0"/>
      <w:sz w:val="24"/>
      <w:szCs w:val="32"/>
      <w:lang w:eastAsia="en-US"/>
    </w:rPr>
  </w:style>
  <w:style w:type="table" w:customStyle="1" w:styleId="37">
    <w:name w:val="网格型1"/>
    <w:basedOn w:val="19"/>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
    <w:name w:val="网格型2"/>
    <w:basedOn w:val="19"/>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
    <w:name w:val="网格型3"/>
    <w:basedOn w:val="19"/>
    <w:qFormat/>
    <w:uiPriority w:val="39"/>
    <w:pPr>
      <w:widowControl w:val="0"/>
      <w:jc w:val="both"/>
    </w:pPr>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0">
    <w:name w:val="16"/>
    <w:qFormat/>
    <w:uiPriority w:val="0"/>
    <w:rPr>
      <w:rFonts w:hint="default" w:ascii="Times New Roman" w:hAnsi="Times New Roman" w:cs="Times New Roman"/>
    </w:rPr>
  </w:style>
  <w:style w:type="character" w:customStyle="1" w:styleId="41">
    <w:name w:val="font41"/>
    <w:qFormat/>
    <w:uiPriority w:val="0"/>
    <w:rPr>
      <w:rFonts w:ascii="宋体" w:hAnsi="宋体" w:eastAsia="宋体" w:cs="宋体"/>
      <w:b/>
      <w:bCs/>
      <w:color w:val="000000"/>
      <w:sz w:val="20"/>
      <w:szCs w:val="20"/>
      <w:u w:val="none"/>
    </w:rPr>
  </w:style>
  <w:style w:type="character" w:customStyle="1" w:styleId="42">
    <w:name w:val="font71"/>
    <w:qFormat/>
    <w:uiPriority w:val="0"/>
    <w:rPr>
      <w:rFonts w:hint="eastAsia" w:ascii="仿宋_GB2312" w:eastAsia="仿宋_GB2312" w:cs="仿宋_GB2312"/>
      <w:b/>
      <w:bCs/>
      <w:color w:val="000000"/>
      <w:sz w:val="20"/>
      <w:szCs w:val="20"/>
      <w:u w:val="none"/>
    </w:rPr>
  </w:style>
  <w:style w:type="character" w:customStyle="1" w:styleId="43">
    <w:name w:val="font11"/>
    <w:qFormat/>
    <w:uiPriority w:val="0"/>
    <w:rPr>
      <w:rFonts w:hint="eastAsia" w:ascii="宋体" w:hAnsi="宋体" w:eastAsia="宋体" w:cs="宋体"/>
      <w:b/>
      <w:bCs/>
      <w:color w:val="000000"/>
      <w:sz w:val="20"/>
      <w:szCs w:val="20"/>
      <w:u w:val="none"/>
    </w:rPr>
  </w:style>
  <w:style w:type="character" w:customStyle="1" w:styleId="44">
    <w:name w:val="批注文字 字符"/>
    <w:link w:val="5"/>
    <w:qFormat/>
    <w:uiPriority w:val="99"/>
    <w:rPr>
      <w:kern w:val="2"/>
      <w:sz w:val="21"/>
      <w:szCs w:val="24"/>
    </w:rPr>
  </w:style>
  <w:style w:type="character" w:customStyle="1" w:styleId="45">
    <w:name w:val="批注主题 字符"/>
    <w:link w:val="16"/>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4C7542-7D5F-47BA-825E-FED9F8C8E65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5806</Words>
  <Characters>5956</Characters>
  <Lines>46</Lines>
  <Paragraphs>13</Paragraphs>
  <TotalTime>3</TotalTime>
  <ScaleCrop>false</ScaleCrop>
  <LinksUpToDate>false</LinksUpToDate>
  <CharactersWithSpaces>6550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2023-03-14T01:53:00Z</dcterms:created>
  <dc:creator>zbm</dc:creator>
  <cp:lastModifiedBy>Administrator</cp:lastModifiedBy>
  <cp:lastPrinted>2023-03-20T05:38:24Z</cp:lastPrinted>
  <dcterms:modified xsi:type="dcterms:W3CDTF">2023-03-20T05:39:20Z</dcterms:modified>
  <dc:title>关于市政协十届一次会议第92号提案的办理意见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6F78482CE7EB4600910992E313719477</vt:lpwstr>
  </property>
</Properties>
</file>