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8"/>
        <w:rPr>
          <w:rFonts w:hint="eastAsia" w:ascii="黑体" w:eastAsia="黑体"/>
          <w:color w:val="000000"/>
        </w:rPr>
      </w:pPr>
      <w:bookmarkStart w:id="3" w:name="_GoBack"/>
      <w:bookmarkEnd w:id="3"/>
    </w:p>
    <w:p>
      <w:pPr>
        <w:ind w:right="18"/>
        <w:rPr>
          <w:rFonts w:hint="eastAsia" w:ascii="黑体" w:eastAsia="黑体"/>
          <w:color w:val="000000"/>
        </w:rPr>
      </w:pPr>
      <w:r>
        <w:rPr>
          <w:rFonts w:hint="eastAsia" w:ascii="黑体" w:eastAsia="黑体"/>
          <w:color w:val="000000"/>
        </w:rPr>
        <w:t xml:space="preserve"> </w:t>
      </w:r>
    </w:p>
    <w:p>
      <w:pPr>
        <w:spacing w:line="200" w:lineRule="exact"/>
        <w:ind w:right="17"/>
        <w:rPr>
          <w:rFonts w:hint="eastAsia" w:ascii="仿宋_GB2312" w:hAnsi="仿宋_GB2312"/>
          <w:color w:val="000000"/>
        </w:rPr>
      </w:pPr>
    </w:p>
    <w:p>
      <w:pPr>
        <w:spacing w:line="1440" w:lineRule="exact"/>
        <w:ind w:right="389" w:firstLine="302"/>
        <w:jc w:val="distribute"/>
        <w:rPr>
          <w:rFonts w:hint="eastAsia" w:ascii="黑体" w:eastAsia="黑体"/>
          <w:b/>
          <w:bCs/>
          <w:color w:val="FF0000"/>
          <w:w w:val="45"/>
          <w:kern w:val="0"/>
          <w:sz w:val="130"/>
          <w:szCs w:val="130"/>
        </w:rPr>
      </w:pPr>
      <w:r>
        <w:rPr>
          <w:rFonts w:hint="eastAsia" w:ascii="黑体" w:eastAsia="黑体"/>
          <w:b/>
          <w:bCs/>
          <w:color w:val="FF0000"/>
          <w:w w:val="45"/>
          <w:kern w:val="0"/>
          <w:sz w:val="130"/>
          <w:szCs w:val="130"/>
        </w:rPr>
        <w:t>张家港市审计局文件</w:t>
      </w:r>
    </w:p>
    <w:p>
      <w:pPr>
        <w:spacing w:line="380" w:lineRule="exact"/>
        <w:ind w:right="17"/>
        <w:rPr>
          <w:rFonts w:hint="eastAsia" w:ascii="仿宋_GB2312" w:hAnsi="仿宋_GB2312"/>
          <w:color w:val="FF0000"/>
          <w:spacing w:val="-40"/>
          <w:w w:val="80"/>
          <w:sz w:val="110"/>
          <w:szCs w:val="110"/>
        </w:rPr>
      </w:pPr>
    </w:p>
    <w:p>
      <w:pPr>
        <w:ind w:left="302" w:right="238"/>
        <w:jc w:val="right"/>
        <w:rPr>
          <w:rFonts w:hint="eastAsia" w:ascii="仿宋_GB2312" w:hAnsi="仿宋_GB2312"/>
          <w:color w:val="FF0000"/>
        </w:rPr>
      </w:pPr>
    </w:p>
    <w:p>
      <w:pPr>
        <w:spacing w:line="0" w:lineRule="atLeast"/>
        <w:ind w:left="302" w:right="238"/>
        <w:jc w:val="center"/>
        <w:rPr>
          <w:rFonts w:hint="eastAsia" w:ascii="楷体_GB2312" w:eastAsia="楷体_GB2312"/>
        </w:rPr>
      </w:pPr>
      <w:r>
        <w:rPr>
          <w:rFonts w:hint="eastAsia" w:ascii="仿宋_GB2312" w:hAnsi="仿宋_GB2312" w:eastAsia="仿宋_GB2312" w:cs="仿宋_GB2312"/>
          <w:sz w:val="32"/>
          <w:szCs w:val="32"/>
        </w:rPr>
        <w:t>张审发〔20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号  </w:t>
      </w:r>
      <w:r>
        <w:rPr>
          <w:rFonts w:hint="eastAsia" w:ascii="仿宋_GB2312" w:hAnsi="仿宋_GB2312"/>
        </w:rPr>
        <w:t>　　　　　　　　</w:t>
      </w:r>
      <w:bookmarkStart w:id="0" w:name="签发人"/>
      <w:bookmarkEnd w:id="0"/>
    </w:p>
    <w:p>
      <w:pPr>
        <w:pBdr>
          <w:bottom w:val="single" w:color="FF0000" w:sz="12" w:space="1"/>
        </w:pBdr>
        <w:spacing w:line="120" w:lineRule="exact"/>
        <w:jc w:val="distribute"/>
        <w:rPr>
          <w:rFonts w:eastAsia="长城小标宋体"/>
          <w:b/>
          <w:color w:val="FF0000"/>
          <w:spacing w:val="-18"/>
        </w:rPr>
      </w:pPr>
    </w:p>
    <w:p>
      <w:pPr>
        <w:jc w:val="both"/>
        <w:rPr>
          <w:rFonts w:hint="eastAsia"/>
          <w:b w:val="0"/>
          <w:bCs w:val="0"/>
          <w:sz w:val="44"/>
          <w:szCs w:val="44"/>
          <w:lang w:eastAsia="zh-CN"/>
        </w:rPr>
      </w:pPr>
      <w:bookmarkStart w:id="1" w:name="紧急程度"/>
      <w:bookmarkEnd w:id="1"/>
      <w:bookmarkStart w:id="2" w:name="单位名称"/>
      <w:bookmarkEnd w:id="2"/>
    </w:p>
    <w:p>
      <w:pPr>
        <w:jc w:val="both"/>
        <w:rPr>
          <w:rFonts w:hint="eastAsia"/>
          <w:b w:val="0"/>
          <w:bCs w:val="0"/>
          <w:sz w:val="44"/>
          <w:szCs w:val="44"/>
          <w:lang w:eastAsia="zh-CN"/>
        </w:rPr>
      </w:pPr>
    </w:p>
    <w:p>
      <w:pPr>
        <w:jc w:val="center"/>
        <w:rPr>
          <w:rFonts w:hint="eastAsia" w:ascii="宋体" w:hAnsi="宋体" w:cs="宋体-18030"/>
          <w:b/>
          <w:sz w:val="44"/>
          <w:szCs w:val="44"/>
        </w:rPr>
      </w:pPr>
      <w:r>
        <w:rPr>
          <w:rFonts w:hint="eastAsia" w:ascii="宋体" w:hAnsi="宋体" w:cs="宋体-18030"/>
          <w:b/>
          <w:sz w:val="44"/>
          <w:szCs w:val="44"/>
        </w:rPr>
        <w:t>张家港市审计局2019年法治</w:t>
      </w:r>
    </w:p>
    <w:p>
      <w:pPr>
        <w:jc w:val="center"/>
        <w:rPr>
          <w:rFonts w:hint="eastAsia" w:ascii="宋体" w:hAnsi="宋体" w:cs="宋体-18030"/>
          <w:b/>
          <w:sz w:val="44"/>
          <w:szCs w:val="44"/>
        </w:rPr>
      </w:pPr>
      <w:r>
        <w:rPr>
          <w:rFonts w:hint="eastAsia" w:ascii="宋体" w:hAnsi="宋体" w:cs="宋体-18030"/>
          <w:b/>
          <w:sz w:val="44"/>
          <w:szCs w:val="44"/>
        </w:rPr>
        <w:t>政府建设情况报告</w:t>
      </w:r>
    </w:p>
    <w:p>
      <w:pPr>
        <w:jc w:val="center"/>
        <w:rPr>
          <w:rFonts w:hint="eastAsia" w:ascii="仿宋_GB2312"/>
          <w:szCs w:val="32"/>
        </w:rPr>
      </w:pPr>
    </w:p>
    <w:p>
      <w:pPr>
        <w:rPr>
          <w:rFonts w:hint="eastAsia" w:ascii="仿宋_GB2312" w:eastAsia="仿宋_GB2312"/>
          <w:b/>
          <w:sz w:val="30"/>
          <w:szCs w:val="30"/>
        </w:rPr>
      </w:pPr>
      <w:r>
        <w:rPr>
          <w:rFonts w:hint="eastAsia" w:ascii="仿宋_GB2312" w:eastAsia="仿宋_GB2312"/>
          <w:sz w:val="30"/>
          <w:szCs w:val="30"/>
        </w:rPr>
        <w:t>张家港市人民政府：</w:t>
      </w:r>
    </w:p>
    <w:p>
      <w:pPr>
        <w:ind w:firstLine="600" w:firstLineChars="200"/>
        <w:rPr>
          <w:rFonts w:hint="eastAsia" w:ascii="仿宋_GB2312" w:eastAsia="仿宋_GB2312"/>
          <w:sz w:val="30"/>
          <w:szCs w:val="30"/>
        </w:rPr>
      </w:pPr>
      <w:r>
        <w:rPr>
          <w:rFonts w:hint="eastAsia" w:ascii="仿宋_GB2312" w:eastAsia="仿宋_GB2312"/>
          <w:sz w:val="30"/>
          <w:szCs w:val="30"/>
        </w:rPr>
        <w:t>2019年以来，市审计局在市委市政府的坚强领导下，坚持以习近平新时代中国特色社会主义思想为指引导，全面贯彻党的十九大和十九届四中全会精神，牢固树立法治观念，强化法治思维，做到审计程序合法、审计方式遵法、审计标准依法、审计保障用法，推动依法独立行使审计监督权，更好地发挥审计在党和国家监督体系中的重要作用。局机关被评选为全省审计系统先进集体，1名同志被评选为全省审计系统先进工作者。在多年苏州市文明单位基础上，成功创建为全省文明单位。</w:t>
      </w:r>
    </w:p>
    <w:p>
      <w:pPr>
        <w:ind w:firstLine="602" w:firstLineChars="200"/>
        <w:rPr>
          <w:rFonts w:hint="eastAsia" w:ascii="仿宋_GB2312" w:eastAsia="仿宋_GB2312"/>
          <w:b/>
          <w:sz w:val="30"/>
          <w:szCs w:val="30"/>
        </w:rPr>
      </w:pPr>
      <w:r>
        <w:rPr>
          <w:rFonts w:hint="eastAsia" w:ascii="仿宋_GB2312" w:eastAsia="仿宋_GB2312"/>
          <w:b/>
          <w:sz w:val="30"/>
          <w:szCs w:val="30"/>
        </w:rPr>
        <w:t>一、法治建设工作主要做法</w:t>
      </w:r>
    </w:p>
    <w:p>
      <w:pPr>
        <w:ind w:firstLine="600" w:firstLineChars="200"/>
        <w:rPr>
          <w:rFonts w:hint="eastAsia" w:ascii="仿宋_GB2312" w:eastAsia="仿宋_GB2312"/>
          <w:sz w:val="30"/>
          <w:szCs w:val="30"/>
        </w:rPr>
      </w:pPr>
      <w:r>
        <w:rPr>
          <w:rFonts w:hint="eastAsia" w:ascii="仿宋_GB2312" w:eastAsia="仿宋_GB2312"/>
          <w:sz w:val="30"/>
          <w:szCs w:val="30"/>
        </w:rPr>
        <w:t>（一）开展宣传教育，提高审计法治意识</w:t>
      </w:r>
    </w:p>
    <w:p>
      <w:pPr>
        <w:ind w:firstLine="600" w:firstLineChars="200"/>
        <w:rPr>
          <w:rFonts w:hint="eastAsia" w:ascii="仿宋_GB2312" w:eastAsia="仿宋_GB2312"/>
          <w:sz w:val="30"/>
          <w:szCs w:val="30"/>
        </w:rPr>
      </w:pPr>
      <w:r>
        <w:rPr>
          <w:rFonts w:hint="eastAsia" w:ascii="仿宋_GB2312" w:eastAsia="仿宋_GB2312"/>
          <w:sz w:val="30"/>
          <w:szCs w:val="30"/>
        </w:rPr>
        <w:t>落实“谁主管谁普法、谁执法谁普法”主体责任，主动开展审计法治宣传工作。领导带头、以上率下，组织全员收看了省厅厅长传达学习全国“两会”精神暨部署学习贯彻工作视频会。将政府工作报告、全国人大常委会工作报告、最高法院和最高检察院工作报告等原文共享，要求大家认真阅读、反复学习。组织学习了胡泽君审计长在审计署市县审计局长培训班上的讲话、扫黑除恶专项斗争相关会议精神。利用“审计大讲堂”组织全员收听收看了“关于落实减税降费政策措施的若干问题”专题讲座、“民商事法律的若干问题”专题讲座、“加强金融供给侧结构性改革，更好服务实体经济，防范金融风险”专题讲座。</w:t>
      </w:r>
    </w:p>
    <w:p>
      <w:pPr>
        <w:ind w:firstLine="600"/>
        <w:rPr>
          <w:rFonts w:hint="eastAsia" w:ascii="仿宋_GB2312" w:eastAsia="仿宋_GB2312"/>
          <w:sz w:val="30"/>
          <w:szCs w:val="30"/>
        </w:rPr>
      </w:pPr>
      <w:r>
        <w:rPr>
          <w:rFonts w:hint="eastAsia" w:ascii="仿宋_GB2312" w:eastAsia="仿宋_GB2312"/>
          <w:sz w:val="30"/>
          <w:szCs w:val="30"/>
        </w:rPr>
        <w:t>利用线上学习平台移动化、碎片化、图像化的信息传播优势，把“学习强国”学习平台app作为学习活动的有效载体，不断强化干部职工理论学习的主动性、自觉性。“学习强国”学习平台app党员注册率达到100%，基本做到每人每日参与平台学习。结合冬训活动，围绕“敢为人先敢闯拼”“改革开放再出发”和丰富“三大法宝”新内涵等内容，组织开展了“奋进新时代，改革再出发”大讨论活动。有的汇报了科室大讨论活动的学习讨论情况，有的畅谈了个人的学习心得和感受，有的围绕如何改革创新发表了自己的看法，还有的结合工作实际提出了意见和建议，形成8篇大讨论成果文章，充分展现了审计干部队伍改革创新、奋发有为的时代风采。</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结合审计现场开展审计普法宣传。充分利用审计项目进点会、审计实施现场、征求审计意见等时点，向被审计单位及其领导干部广泛宣传审计法以及相关财经法律法规等，并通过面对面交流，以案释法等形式深入讲解在各领域审计中发现的“老毛病、常见病、多发病、易发病”，推动被审计单位提高遵守财经法规的意识，避免问题屡查屡犯，防患于未然。 </w:t>
      </w:r>
    </w:p>
    <w:p>
      <w:pPr>
        <w:ind w:firstLine="600"/>
        <w:rPr>
          <w:rFonts w:hint="eastAsia" w:ascii="仿宋_GB2312" w:eastAsia="仿宋_GB2312"/>
          <w:sz w:val="30"/>
          <w:szCs w:val="30"/>
        </w:rPr>
      </w:pPr>
      <w:r>
        <w:rPr>
          <w:rFonts w:hint="eastAsia" w:ascii="仿宋_GB2312" w:eastAsia="仿宋_GB2312"/>
          <w:sz w:val="30"/>
          <w:szCs w:val="30"/>
        </w:rPr>
        <w:t>（二）完善内部机制，规范审计执法</w:t>
      </w:r>
    </w:p>
    <w:p>
      <w:pPr>
        <w:ind w:firstLine="600"/>
        <w:rPr>
          <w:rFonts w:hint="eastAsia" w:ascii="仿宋_GB2312" w:eastAsia="仿宋_GB2312"/>
          <w:sz w:val="30"/>
          <w:szCs w:val="30"/>
        </w:rPr>
      </w:pPr>
      <w:r>
        <w:rPr>
          <w:rFonts w:hint="eastAsia" w:ascii="仿宋_GB2312" w:eastAsia="仿宋_GB2312"/>
          <w:sz w:val="30"/>
          <w:szCs w:val="30"/>
        </w:rPr>
        <w:t>将健全规章制度作为基础性工作来抓。集中出台了《审计业务电子数据管理暂行办法》《计算机和网络设备使用管理办法》《网络与信息安全保密管理办法》《网络与信息安全应急预案》等四项制度，狠抓审计数据安全管理，为“科技强审”战略保驾护航。不断完善了《张家港市审计局审计项目审理工作指南》《审计现场管理办法》等，再结合贯彻执行署省市审计质量控制办法，基本上形成了审计执法（审计质量）规章制度体系，为审计工作迈入法制化、制度化、规范化轨道奠定了基础。牵头拟定了《镇（区）党政主要领导自然资源资产离任审计办法》，完善评价指标和内容。</w:t>
      </w:r>
    </w:p>
    <w:p>
      <w:pPr>
        <w:ind w:firstLine="600"/>
        <w:rPr>
          <w:rFonts w:hint="eastAsia" w:ascii="仿宋_GB2312" w:eastAsia="仿宋_GB2312"/>
          <w:sz w:val="30"/>
          <w:szCs w:val="30"/>
        </w:rPr>
      </w:pPr>
      <w:r>
        <w:rPr>
          <w:rFonts w:hint="eastAsia" w:ascii="仿宋_GB2312" w:eastAsia="仿宋_GB2312"/>
          <w:sz w:val="30"/>
          <w:szCs w:val="30"/>
        </w:rPr>
        <w:t>在以健全规章制度为基础的同时，结合实际情况，形成了一些具有本局特色的经验做法，使得审计工作更加严谨规范。比如，年底“晒业绩、述廉责、比贡献”主题交流活动和优秀项目评比；工程审计的三级复核制度和季度最高差错率项目通报制度。对符合条件的中青年业务骨干进行积分竞赛考评。考评内容主要由业务技能和工作业绩、制度执行情况、廉政建设三大部分组成，党员增评参加党建活动情况。</w:t>
      </w:r>
    </w:p>
    <w:p>
      <w:pPr>
        <w:ind w:firstLine="600"/>
        <w:rPr>
          <w:rFonts w:hint="eastAsia" w:ascii="仿宋_GB2312" w:eastAsia="仿宋_GB2312"/>
          <w:sz w:val="30"/>
          <w:szCs w:val="30"/>
        </w:rPr>
      </w:pPr>
      <w:r>
        <w:rPr>
          <w:rFonts w:hint="eastAsia" w:ascii="仿宋_GB2312" w:eastAsia="仿宋_GB2312"/>
          <w:sz w:val="30"/>
          <w:szCs w:val="30"/>
        </w:rPr>
        <w:t>为增强审计工作的透明度，提高人民群众对审计工作的知情权、参与权和监督权，积极推进审计政务信息公开。以《审计通知书》为依托，将审计项目、审计组人员、审计依据及内容、审计机关的权限、审计纪律、审计机关受理举报和接受监督电话及联系人等内容在《审计通知书》中公开。在领导干部经济责任审计中，审前先在被审计单位进行公示，审计期间全程接受被审计单位干部职工和社会的监督，进一步增强依法行政的透明度，拓宽了行政相对人意见反映和诉求的渠道，搭建了正常的沟通平台。对市工伤管理信息系统审计、规划局主要领导经责审计等11个项目审前公告书在张家港市人民政府网站上进行公布。扩大政务信息公开范围，对工程造价决算内容拟定固定格式，每月公开一次，推动审计执法工作更加公开透明高效。</w:t>
      </w:r>
    </w:p>
    <w:p>
      <w:pPr>
        <w:ind w:firstLine="600"/>
        <w:rPr>
          <w:rFonts w:hint="eastAsia" w:ascii="仿宋_GB2312" w:eastAsia="仿宋_GB2312"/>
          <w:sz w:val="30"/>
          <w:szCs w:val="30"/>
        </w:rPr>
      </w:pPr>
      <w:r>
        <w:rPr>
          <w:rFonts w:hint="eastAsia" w:ascii="仿宋_GB2312" w:eastAsia="仿宋_GB2312"/>
          <w:sz w:val="30"/>
          <w:szCs w:val="30"/>
        </w:rPr>
        <w:t>（三）依法履职担当，严格依法审计</w:t>
      </w:r>
    </w:p>
    <w:p>
      <w:pPr>
        <w:ind w:firstLine="600"/>
        <w:rPr>
          <w:rFonts w:hint="eastAsia" w:ascii="仿宋_GB2312" w:eastAsia="仿宋_GB2312"/>
          <w:sz w:val="30"/>
          <w:szCs w:val="30"/>
        </w:rPr>
      </w:pPr>
      <w:r>
        <w:rPr>
          <w:rFonts w:hint="eastAsia" w:ascii="仿宋_GB2312" w:eastAsia="仿宋_GB2312"/>
          <w:sz w:val="30"/>
          <w:szCs w:val="30"/>
        </w:rPr>
        <w:t>按时序进度完成财政、发改、国资相关职能划转、人员转隶工作以及机构“三定”，顺利完成了审计机构改革任务，积极参与市委审计委员会筹建，推动我市审计管理体制改革迈出实质性步伐。</w:t>
      </w:r>
    </w:p>
    <w:p>
      <w:pPr>
        <w:ind w:firstLine="600"/>
        <w:rPr>
          <w:rFonts w:hint="eastAsia" w:ascii="仿宋_GB2312" w:eastAsia="仿宋_GB2312"/>
          <w:sz w:val="30"/>
          <w:szCs w:val="30"/>
        </w:rPr>
      </w:pPr>
      <w:r>
        <w:rPr>
          <w:rFonts w:hint="eastAsia" w:ascii="仿宋_GB2312" w:eastAsia="仿宋_GB2312"/>
          <w:sz w:val="30"/>
          <w:szCs w:val="30"/>
        </w:rPr>
        <w:t>2019年以来，张家港市审计局找准审计监督与高质量发展的最佳结合点，主动融入地方发展大局，依法全面履行审计职责，为推动港城高质量发展走在前列保驾护航。2019年以来，张家港市审计局找准审计监督与高质量发展的最佳结合点，主动融入地方发展大局，依法全面履行审计职责，为推动港城高质量发展走在前列保驾护航。全年完成审计项目29个，查出不规范金额33.4亿元，促进增收节支2.3亿元，提出审计建议112条。基建工程项目初审定案数89个，初审送审金额7357万元，初审核减614万元，初审核减率8.34%。复审项目135个，送审金额13.04亿元，复审后净核减3129万元。开展了关爱民生法治行项目——工伤管理信息系统专项审计。重点审计了信息系统开发、运行、管理、维护情况以及工伤保险基金归集、使用等情况，揭示了在信息系统建设维护、信息系统使用、信息系统安全、机房管理、工伤业务管理等方面5大类15条问题。</w:t>
      </w:r>
    </w:p>
    <w:p>
      <w:pPr>
        <w:ind w:firstLine="600"/>
        <w:rPr>
          <w:rFonts w:ascii="仿宋_GB2312" w:eastAsia="仿宋_GB2312"/>
          <w:sz w:val="30"/>
          <w:szCs w:val="30"/>
        </w:rPr>
      </w:pPr>
      <w:r>
        <w:rPr>
          <w:rFonts w:hint="eastAsia" w:ascii="仿宋_GB2312" w:eastAsia="仿宋_GB2312"/>
          <w:sz w:val="30"/>
          <w:szCs w:val="30"/>
        </w:rPr>
        <w:t>持续落实“审计发现问题整改销号清单”机制，各科室在完成审计项目后,及时将审计报告中反映的问题逐项编制整改销号清单台账,列出整改应完成时间，以科室为单位，督促被审计单位对照问题逐条逐项进行整改，整改一项销号一项。</w:t>
      </w:r>
    </w:p>
    <w:p>
      <w:pPr>
        <w:ind w:firstLine="602" w:firstLineChars="200"/>
        <w:rPr>
          <w:rFonts w:hint="eastAsia" w:ascii="仿宋_GB2312" w:eastAsia="仿宋_GB2312"/>
          <w:b/>
          <w:sz w:val="30"/>
          <w:szCs w:val="30"/>
        </w:rPr>
      </w:pPr>
      <w:r>
        <w:rPr>
          <w:rFonts w:hint="eastAsia" w:ascii="仿宋_GB2312" w:eastAsia="仿宋_GB2312"/>
          <w:b/>
          <w:sz w:val="30"/>
          <w:szCs w:val="30"/>
        </w:rPr>
        <w:t>二、存在不足</w:t>
      </w:r>
    </w:p>
    <w:p>
      <w:pPr>
        <w:ind w:firstLine="600" w:firstLineChars="200"/>
        <w:rPr>
          <w:rFonts w:hint="eastAsia" w:ascii="仿宋_GB2312" w:eastAsia="仿宋_GB2312"/>
          <w:sz w:val="30"/>
          <w:szCs w:val="30"/>
        </w:rPr>
      </w:pPr>
      <w:r>
        <w:rPr>
          <w:rFonts w:hint="eastAsia" w:ascii="仿宋_GB2312" w:eastAsia="仿宋_GB2312"/>
          <w:sz w:val="30"/>
          <w:szCs w:val="30"/>
        </w:rPr>
        <w:t>普法内容及方式方法比较单一。审计目前面临的任务重、时间紧、人员少，对内普法、学习法律知识主要还是依靠有限的集中学习方式实施，且审计人员经常参与上级审计机关组织的异地交叉审计项目，普法有时不能全覆盖；对外普法也主要是向被审计对象宣传审计专业方面的法规，普法对象、知识面单一。</w:t>
      </w:r>
    </w:p>
    <w:p>
      <w:pPr>
        <w:ind w:firstLine="602" w:firstLineChars="200"/>
        <w:rPr>
          <w:rFonts w:hint="eastAsia" w:ascii="仿宋_GB2312" w:eastAsia="仿宋_GB2312"/>
          <w:b/>
          <w:sz w:val="30"/>
          <w:szCs w:val="30"/>
        </w:rPr>
      </w:pPr>
      <w:r>
        <w:rPr>
          <w:rFonts w:hint="eastAsia" w:ascii="仿宋_GB2312" w:eastAsia="仿宋_GB2312"/>
          <w:b/>
          <w:sz w:val="30"/>
          <w:szCs w:val="30"/>
        </w:rPr>
        <w:t>三、下一步打算</w:t>
      </w:r>
    </w:p>
    <w:p>
      <w:pPr>
        <w:ind w:firstLine="600" w:firstLineChars="200"/>
        <w:rPr>
          <w:rFonts w:hint="eastAsia" w:ascii="仿宋_GB2312" w:eastAsia="仿宋_GB2312"/>
          <w:sz w:val="30"/>
          <w:szCs w:val="30"/>
        </w:rPr>
      </w:pPr>
      <w:r>
        <w:rPr>
          <w:rFonts w:hint="eastAsia" w:ascii="仿宋_GB2312" w:eastAsia="仿宋_GB2312"/>
          <w:sz w:val="30"/>
          <w:szCs w:val="30"/>
        </w:rPr>
        <w:t>(一)主动适应新时代新要求，切实提高履职尽责的能力。一是要准确把握审计工作所处的新环境、新定位和工作的发力点，紧扣党委政府中心工作，履行审计职责，发挥审计作用。既要敢于和善于发现问题，又要积极推动解决问题，实现揭示微观问题和服务宏观决策相结合，努力在更高层面和更广领域发挥审计作用。二是要突出审计重点，更加有效发挥监督和服务作用。要紧紧围绕市委、市政府中心工作，不断加大重大政策措施跟踪审计力度，深化财政审计、国有企业审计，推进经济责任审计，加强民生和资源环境审计，自觉做到聚焦重点，服务大局，靶向发力，努力为港城发展升级版提供保障和服务。</w:t>
      </w:r>
    </w:p>
    <w:p>
      <w:pPr>
        <w:ind w:firstLine="600" w:firstLineChars="200"/>
        <w:rPr>
          <w:rFonts w:hint="eastAsia" w:ascii="仿宋_GB2312" w:eastAsia="仿宋_GB2312"/>
          <w:sz w:val="30"/>
          <w:szCs w:val="30"/>
        </w:rPr>
      </w:pPr>
      <w:r>
        <w:rPr>
          <w:rFonts w:hint="eastAsia" w:ascii="仿宋_GB2312" w:eastAsia="仿宋_GB2312"/>
          <w:sz w:val="30"/>
          <w:szCs w:val="30"/>
        </w:rPr>
        <w:t>(二)强化质量意识，着力提升审计成效。一是坚持质量至上的理念，加强对重点环节的质量管理，进一步优化一线审计人员、审理人员、局领导班子多个层面“阶梯式把关”模式，做到查找问题有深度、审计定性有尺度、审计整改有力度、审计成果有高度，切实把“事实清、证据足、法规明、定性准”的“十二字”要求落到实处，提升审计质量和成效，维护审计机关的权威性和公信力。二是坚持依法审计，敢于坚持原则，敢于碰硬，发现问题线索要紧盯不放，一查到底，严肃揭示和查处骗取财政资金、失职渎职、贪污受贿等重大违纪违法问题。对审计发现的问题，要贯彻落实“三个区分开来”的重要要求，认真分析，历史全面客观地看待，激发干部干事创业、担当作为的积极性和主动性。</w:t>
      </w:r>
    </w:p>
    <w:p>
      <w:pPr>
        <w:ind w:firstLine="640"/>
        <w:rPr>
          <w:rFonts w:hint="eastAsia" w:ascii="仿宋_GB2312" w:hAnsi="仿宋_GB2312" w:eastAsia="仿宋_GB2312" w:cs="仿宋_GB2312"/>
          <w:sz w:val="32"/>
          <w:szCs w:val="32"/>
          <w:lang w:val="en-US" w:eastAsia="zh-CN"/>
        </w:rPr>
      </w:pPr>
      <w:r>
        <w:rPr>
          <w:rFonts w:hint="eastAsia" w:ascii="仿宋_GB2312" w:eastAsia="仿宋_GB2312"/>
          <w:sz w:val="30"/>
          <w:szCs w:val="30"/>
        </w:rPr>
        <w:t>(三)持续抓好队伍建设，全力打造高素质专业化审计干部队伍。将坚定不移地践行习近平总书记在中央审计委员会第一次会议上的重要讲话精神以及习近平总书记对审计工作的重要指示精神，坚持以审计精神立身，加强审计干部政治思想建设；坚持以创新规范立业，不断推进审计理念、审计方式、审计管理等改革创新,依法文明审计，严格规范审计行为，切实提高审计监督的质量和成效；坚持以自身建设立信，把审计队伍建设摆在重要位置，努力建设信念坚定、业务精通、作风务实、清正廉洁的高素质专业化审计干部队伍。</w:t>
      </w: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640"/>
        <w:rPr>
          <w:rFonts w:hint="eastAsia" w:ascii="仿宋_GB2312" w:hAnsi="仿宋_GB2312" w:eastAsia="仿宋_GB2312" w:cs="仿宋_GB2312"/>
          <w:sz w:val="32"/>
          <w:szCs w:val="32"/>
          <w:lang w:val="en-US" w:eastAsia="zh-CN"/>
        </w:rPr>
      </w:pPr>
    </w:p>
    <w:p>
      <w:pPr>
        <w:ind w:firstLine="5126" w:firstLineChars="160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张家港市审计局</w:t>
      </w:r>
    </w:p>
    <w:p>
      <w:pPr>
        <w:ind w:firstLine="5126" w:firstLineChars="160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2020年2月11日</w:t>
      </w:r>
    </w:p>
    <w:p>
      <w:pPr>
        <w:ind w:firstLine="5126" w:firstLineChars="1602"/>
        <w:rPr>
          <w:rFonts w:hint="eastAsia" w:ascii="仿宋_GB2312" w:hAnsi="仿宋_GB2312" w:eastAsia="仿宋_GB2312" w:cs="仿宋_GB2312"/>
          <w:sz w:val="32"/>
          <w:szCs w:val="32"/>
          <w:lang w:val="en-US" w:eastAsia="zh-CN"/>
        </w:rPr>
      </w:pPr>
    </w:p>
    <w:p>
      <w:pPr>
        <w:ind w:firstLine="5126" w:firstLineChars="1602"/>
        <w:rPr>
          <w:rFonts w:hint="eastAsia" w:ascii="仿宋_GB2312" w:hAnsi="仿宋_GB2312" w:eastAsia="仿宋_GB2312" w:cs="仿宋_GB2312"/>
          <w:sz w:val="32"/>
          <w:szCs w:val="32"/>
          <w:lang w:val="en-US" w:eastAsia="zh-CN"/>
        </w:rPr>
      </w:pPr>
    </w:p>
    <w:p>
      <w:pPr>
        <w:ind w:firstLine="5126" w:firstLineChars="1602"/>
        <w:rPr>
          <w:rFonts w:hint="eastAsia" w:ascii="仿宋_GB2312" w:hAnsi="仿宋_GB2312" w:eastAsia="仿宋_GB2312" w:cs="仿宋_GB2312"/>
          <w:sz w:val="32"/>
          <w:szCs w:val="32"/>
          <w:lang w:val="en-US" w:eastAsia="zh-CN"/>
        </w:rPr>
      </w:pPr>
    </w:p>
    <w:p>
      <w:pPr>
        <w:ind w:firstLine="5126" w:firstLineChars="1602"/>
        <w:rPr>
          <w:rFonts w:hint="eastAsia" w:ascii="仿宋_GB2312" w:hAnsi="仿宋_GB2312" w:eastAsia="仿宋_GB2312" w:cs="仿宋_GB2312"/>
          <w:sz w:val="32"/>
          <w:szCs w:val="32"/>
          <w:lang w:val="en-US" w:eastAsia="zh-CN"/>
        </w:rPr>
      </w:pPr>
    </w:p>
    <w:p>
      <w:pPr>
        <w:ind w:firstLine="5126" w:firstLineChars="1602"/>
        <w:rPr>
          <w:rFonts w:hint="eastAsia" w:ascii="仿宋_GB2312" w:hAnsi="仿宋_GB2312" w:eastAsia="仿宋_GB2312" w:cs="仿宋_GB2312"/>
          <w:sz w:val="32"/>
          <w:szCs w:val="32"/>
          <w:lang w:val="en-US" w:eastAsia="zh-CN"/>
        </w:rPr>
      </w:pPr>
    </w:p>
    <w:p>
      <w:pPr>
        <w:ind w:firstLine="5126" w:firstLineChars="160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ind w:firstLine="5126" w:firstLineChars="1602"/>
        <w:rPr>
          <w:rFonts w:hint="eastAsia" w:ascii="仿宋_GB2312" w:hAnsi="仿宋_GB2312" w:eastAsia="仿宋_GB2312" w:cs="仿宋_GB2312"/>
          <w:sz w:val="32"/>
          <w:szCs w:val="32"/>
          <w:lang w:val="en-US" w:eastAsia="zh-CN"/>
        </w:rPr>
      </w:pPr>
    </w:p>
    <w:tbl>
      <w:tblPr>
        <w:tblStyle w:val="5"/>
        <w:tblW w:w="852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520" w:lineRule="exact"/>
              <w:ind w:firstLine="280" w:firstLineChars="100"/>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u w:val="none"/>
                <w:lang w:val="en-US" w:eastAsia="zh-CN"/>
              </w:rPr>
              <w:t>抄送：苏州市审计局、市委依法治市办公室。</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520" w:lineRule="exact"/>
              <w:ind w:right="25" w:rightChars="12"/>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u w:val="none"/>
              </w:rPr>
              <w:t xml:space="preserve"> </w:t>
            </w: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28"/>
                <w:szCs w:val="28"/>
                <w:u w:val="none"/>
              </w:rPr>
              <w:t xml:space="preserve">张家港市审计局       </w:t>
            </w: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28"/>
                <w:szCs w:val="28"/>
                <w:u w:val="none"/>
              </w:rPr>
              <w:t xml:space="preserve">   </w:t>
            </w: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28"/>
                <w:szCs w:val="28"/>
                <w:u w:val="none"/>
              </w:rPr>
              <w:t>20</w:t>
            </w:r>
            <w:r>
              <w:rPr>
                <w:rFonts w:hint="eastAsia" w:ascii="仿宋_GB2312" w:hAnsi="仿宋_GB2312" w:eastAsia="仿宋_GB2312" w:cs="仿宋_GB2312"/>
                <w:sz w:val="28"/>
                <w:szCs w:val="28"/>
                <w:u w:val="none"/>
                <w:lang w:val="en-US" w:eastAsia="zh-CN"/>
              </w:rPr>
              <w:t>20</w:t>
            </w:r>
            <w:r>
              <w:rPr>
                <w:rFonts w:hint="eastAsia" w:ascii="仿宋_GB2312" w:hAnsi="仿宋_GB2312" w:eastAsia="仿宋_GB2312" w:cs="仿宋_GB2312"/>
                <w:sz w:val="28"/>
                <w:szCs w:val="28"/>
                <w:u w:val="none"/>
              </w:rPr>
              <w:t>年</w:t>
            </w:r>
            <w:r>
              <w:rPr>
                <w:rFonts w:hint="eastAsia" w:ascii="仿宋_GB2312" w:hAnsi="仿宋_GB2312" w:eastAsia="仿宋_GB2312" w:cs="仿宋_GB2312"/>
                <w:sz w:val="28"/>
                <w:szCs w:val="28"/>
                <w:u w:val="none"/>
                <w:lang w:val="en-US" w:eastAsia="zh-CN"/>
              </w:rPr>
              <w:t>2</w:t>
            </w:r>
            <w:r>
              <w:rPr>
                <w:rFonts w:hint="eastAsia" w:ascii="仿宋_GB2312" w:hAnsi="仿宋_GB2312" w:eastAsia="仿宋_GB2312" w:cs="仿宋_GB2312"/>
                <w:sz w:val="28"/>
                <w:szCs w:val="28"/>
                <w:u w:val="none"/>
              </w:rPr>
              <w:t>月</w:t>
            </w:r>
            <w:r>
              <w:rPr>
                <w:rFonts w:hint="eastAsia" w:ascii="仿宋_GB2312" w:hAnsi="仿宋_GB2312" w:eastAsia="仿宋_GB2312" w:cs="仿宋_GB2312"/>
                <w:sz w:val="28"/>
                <w:szCs w:val="28"/>
                <w:u w:val="none"/>
                <w:lang w:val="en-US" w:eastAsia="zh-CN"/>
              </w:rPr>
              <w:t>11</w:t>
            </w:r>
            <w:r>
              <w:rPr>
                <w:rFonts w:hint="eastAsia" w:ascii="仿宋_GB2312" w:hAnsi="仿宋_GB2312" w:eastAsia="仿宋_GB2312" w:cs="仿宋_GB2312"/>
                <w:sz w:val="28"/>
                <w:szCs w:val="28"/>
                <w:u w:val="none"/>
              </w:rPr>
              <w:t>日印发</w:t>
            </w:r>
          </w:p>
        </w:tc>
      </w:tr>
    </w:tbl>
    <w:p>
      <w:pPr>
        <w:keepNext w:val="0"/>
        <w:keepLines w:val="0"/>
        <w:pageBreakBefore w:val="0"/>
        <w:widowControl w:val="0"/>
        <w:kinsoku/>
        <w:wordWrap/>
        <w:overflowPunct/>
        <w:topLinePunct w:val="0"/>
        <w:autoSpaceDE/>
        <w:autoSpaceDN/>
        <w:bidi w:val="0"/>
        <w:adjustRightInd/>
        <w:snapToGrid/>
        <w:spacing w:line="520" w:lineRule="exact"/>
        <w:ind w:right="25" w:rightChars="12"/>
        <w:jc w:val="both"/>
        <w:textAlignment w:val="auto"/>
        <w:rPr>
          <w:rFonts w:hint="default" w:ascii="仿宋_GB2312" w:hAnsi="仿宋_GB2312" w:eastAsia="仿宋_GB2312" w:cs="仿宋_GB2312"/>
          <w:sz w:val="28"/>
          <w:szCs w:val="28"/>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56040"/>
    <w:rsid w:val="050E44F1"/>
    <w:rsid w:val="07C95D2B"/>
    <w:rsid w:val="116F6D3A"/>
    <w:rsid w:val="12F56040"/>
    <w:rsid w:val="23C41F9E"/>
    <w:rsid w:val="247E233D"/>
    <w:rsid w:val="25696DDB"/>
    <w:rsid w:val="29EA0685"/>
    <w:rsid w:val="2C4C0D6D"/>
    <w:rsid w:val="2D60431C"/>
    <w:rsid w:val="39C8084F"/>
    <w:rsid w:val="3C2653BF"/>
    <w:rsid w:val="43B46C0C"/>
    <w:rsid w:val="47540E22"/>
    <w:rsid w:val="528D734F"/>
    <w:rsid w:val="52B4283D"/>
    <w:rsid w:val="5C64607B"/>
    <w:rsid w:val="642B1D06"/>
    <w:rsid w:val="6F0C0088"/>
    <w:rsid w:val="71DC616E"/>
    <w:rsid w:val="74254D2C"/>
    <w:rsid w:val="7B540858"/>
    <w:rsid w:val="7CB37657"/>
    <w:rsid w:val="7D15338B"/>
    <w:rsid w:val="7F2826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2019-05-30T00:56:00Z</dcterms:created>
  <dc:creator>Ellen</dc:creator>
  <cp:lastModifiedBy>Administrator</cp:lastModifiedBy>
  <cp:lastPrinted>2020-02-11T02:06:13Z</cp:lastPrinted>
  <dcterms:modified xsi:type="dcterms:W3CDTF">2020-02-11T02:08:47Z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