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51"/>
        <w:gridCol w:w="717"/>
        <w:gridCol w:w="7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589" w:type="pct"/>
            <w:vAlign w:val="center"/>
          </w:tcPr>
          <w:p>
            <w:pPr>
              <w:snapToGrid w:val="0"/>
              <w:jc w:val="center"/>
              <w:rPr>
                <w:rStyle w:val="8"/>
                <w:rFonts w:ascii="Times New Roman" w:hAnsi="Times New Roman" w:eastAsia="宋体"/>
                <w:b/>
                <w:kern w:val="0"/>
                <w:szCs w:val="21"/>
              </w:rPr>
            </w:pPr>
            <w:r>
              <w:rPr>
                <w:rStyle w:val="8"/>
                <w:rFonts w:ascii="Times New Roman" w:hAnsi="Times New Roman" w:eastAsia="宋体"/>
                <w:b/>
                <w:kern w:val="0"/>
                <w:szCs w:val="21"/>
              </w:rPr>
              <w:t>评分因素</w:t>
            </w:r>
          </w:p>
        </w:tc>
        <w:tc>
          <w:tcPr>
            <w:tcW w:w="367" w:type="pct"/>
            <w:vAlign w:val="center"/>
          </w:tcPr>
          <w:p>
            <w:pPr>
              <w:snapToGrid w:val="0"/>
              <w:jc w:val="center"/>
              <w:rPr>
                <w:rStyle w:val="8"/>
                <w:rFonts w:ascii="Times New Roman" w:hAnsi="Times New Roman" w:eastAsia="宋体"/>
                <w:b/>
                <w:kern w:val="0"/>
                <w:szCs w:val="21"/>
              </w:rPr>
            </w:pPr>
            <w:r>
              <w:rPr>
                <w:rStyle w:val="8"/>
                <w:rFonts w:ascii="Times New Roman" w:hAnsi="Times New Roman" w:eastAsia="宋体"/>
                <w:b/>
                <w:kern w:val="0"/>
                <w:szCs w:val="21"/>
              </w:rPr>
              <w:t>分值</w:t>
            </w:r>
          </w:p>
        </w:tc>
        <w:tc>
          <w:tcPr>
            <w:tcW w:w="4042" w:type="pct"/>
            <w:vAlign w:val="center"/>
          </w:tcPr>
          <w:p>
            <w:pPr>
              <w:snapToGrid w:val="0"/>
              <w:jc w:val="center"/>
              <w:rPr>
                <w:rStyle w:val="8"/>
                <w:rFonts w:ascii="Times New Roman" w:hAnsi="Times New Roman" w:eastAsia="宋体"/>
                <w:b/>
                <w:kern w:val="0"/>
                <w:szCs w:val="21"/>
              </w:rPr>
            </w:pPr>
            <w:r>
              <w:rPr>
                <w:rStyle w:val="8"/>
                <w:rFonts w:ascii="Times New Roman" w:hAnsi="Times New Roman" w:eastAsia="宋体"/>
                <w:b/>
                <w:kern w:val="0"/>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报价</w:t>
            </w:r>
          </w:p>
        </w:tc>
        <w:tc>
          <w:tcPr>
            <w:tcW w:w="367" w:type="pct"/>
            <w:vAlign w:val="center"/>
          </w:tcPr>
          <w:p>
            <w:pPr>
              <w:snapToGrid w:val="0"/>
              <w:jc w:val="center"/>
              <w:rPr>
                <w:kern w:val="0"/>
                <w:szCs w:val="21"/>
              </w:rPr>
            </w:pPr>
            <w:r>
              <w:rPr>
                <w:kern w:val="0"/>
                <w:szCs w:val="21"/>
              </w:rPr>
              <w:t>20</w:t>
            </w:r>
          </w:p>
        </w:tc>
        <w:tc>
          <w:tcPr>
            <w:tcW w:w="4042" w:type="pct"/>
            <w:vAlign w:val="center"/>
          </w:tcPr>
          <w:p>
            <w:pPr>
              <w:widowControl/>
              <w:snapToGrid w:val="0"/>
              <w:rPr>
                <w:kern w:val="0"/>
                <w:szCs w:val="21"/>
              </w:rPr>
            </w:pPr>
            <w:r>
              <w:rPr>
                <w:kern w:val="0"/>
                <w:szCs w:val="21"/>
              </w:rPr>
              <w:t>采用低价优先法计算，即满足招标文件要求且投标价格最低的投标报价为评标基准价，其价格分为满分。其他投标人的价格分统一按照下列公式计算</w:t>
            </w:r>
            <w:r>
              <w:rPr>
                <w:rFonts w:hint="eastAsia" w:ascii="宋体" w:hAnsi="宋体" w:cs="宋体"/>
                <w:kern w:val="0"/>
                <w:szCs w:val="21"/>
              </w:rPr>
              <w:t>∶</w:t>
            </w:r>
            <w:r>
              <w:rPr>
                <w:kern w:val="0"/>
                <w:szCs w:val="21"/>
              </w:rPr>
              <w:t>投标报价得分=（评标基准价/投标报价）×</w:t>
            </w:r>
            <w:r>
              <w:rPr>
                <w:rFonts w:hint="eastAsia"/>
                <w:kern w:val="0"/>
                <w:szCs w:val="21"/>
              </w:rPr>
              <w:t>2</w:t>
            </w:r>
            <w:r>
              <w:rPr>
                <w:kern w:val="0"/>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企业实力</w:t>
            </w:r>
          </w:p>
        </w:tc>
        <w:tc>
          <w:tcPr>
            <w:tcW w:w="367"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16</w:t>
            </w:r>
          </w:p>
        </w:tc>
        <w:tc>
          <w:tcPr>
            <w:tcW w:w="4042" w:type="pct"/>
            <w:vAlign w:val="center"/>
          </w:tcPr>
          <w:p>
            <w:pPr>
              <w:snapToGrid w:val="0"/>
              <w:rPr>
                <w:rStyle w:val="8"/>
                <w:rFonts w:hint="eastAsia" w:ascii="Times New Roman" w:hAnsi="Times New Roman" w:eastAsia="宋体" w:cs="Times New Roman"/>
                <w:b w:val="0"/>
                <w:bCs/>
                <w:szCs w:val="21"/>
              </w:rPr>
            </w:pPr>
            <w:r>
              <w:rPr>
                <w:rStyle w:val="8"/>
                <w:rFonts w:hint="eastAsia" w:ascii="Times New Roman" w:hAnsi="Times New Roman" w:eastAsia="宋体" w:cs="Times New Roman"/>
                <w:b w:val="0"/>
                <w:bCs/>
                <w:szCs w:val="21"/>
              </w:rPr>
              <w:t>（1）投标单位自设实验室，具有在有效期内的CMA检验检测机构资质认定证书且通过省级重点行业企业用地调查初筛检测实验室省级能力验证的（不包括部分通过)的得</w:t>
            </w:r>
            <w:r>
              <w:rPr>
                <w:rStyle w:val="8"/>
                <w:rFonts w:hint="eastAsia" w:ascii="Times New Roman" w:hAnsi="Times New Roman" w:eastAsia="宋体" w:cs="Times New Roman"/>
                <w:b w:val="0"/>
                <w:bCs/>
                <w:szCs w:val="21"/>
                <w:lang w:val="en-US"/>
              </w:rPr>
              <w:t>5</w:t>
            </w:r>
            <w:r>
              <w:rPr>
                <w:rStyle w:val="8"/>
                <w:rFonts w:hint="eastAsia" w:ascii="Times New Roman" w:hAnsi="Times New Roman" w:eastAsia="宋体" w:cs="Times New Roman"/>
                <w:b w:val="0"/>
                <w:bCs/>
                <w:szCs w:val="21"/>
              </w:rPr>
              <w:t>分；</w:t>
            </w:r>
          </w:p>
          <w:p>
            <w:pPr>
              <w:pStyle w:val="2"/>
              <w:snapToGrid w:val="0"/>
              <w:spacing w:before="0" w:after="0" w:line="240" w:lineRule="auto"/>
              <w:rPr>
                <w:rStyle w:val="8"/>
                <w:rFonts w:hint="eastAsia" w:ascii="Times New Roman" w:hAnsi="Times New Roman" w:eastAsia="宋体" w:cs="Times New Roman"/>
                <w:b w:val="0"/>
                <w:bCs/>
                <w:szCs w:val="21"/>
              </w:rPr>
            </w:pPr>
            <w:r>
              <w:rPr>
                <w:rStyle w:val="8"/>
                <w:rFonts w:hint="eastAsia" w:ascii="Times New Roman" w:hAnsi="Times New Roman" w:eastAsia="宋体" w:cs="Times New Roman"/>
                <w:b w:val="0"/>
                <w:bCs/>
                <w:szCs w:val="21"/>
              </w:rPr>
              <w:t>（2）投标单位自设实验室，具有经中国合格评定国家认可委员会(CNAS)实验室认可证书的，得</w:t>
            </w:r>
            <w:r>
              <w:rPr>
                <w:rStyle w:val="8"/>
                <w:rFonts w:hint="eastAsia" w:ascii="Times New Roman" w:hAnsi="Times New Roman" w:eastAsia="宋体" w:cs="Times New Roman"/>
                <w:b w:val="0"/>
                <w:bCs/>
                <w:szCs w:val="21"/>
                <w:lang w:val="en-US"/>
              </w:rPr>
              <w:t>5</w:t>
            </w:r>
            <w:r>
              <w:rPr>
                <w:rStyle w:val="8"/>
                <w:rFonts w:hint="eastAsia" w:ascii="Times New Roman" w:hAnsi="Times New Roman" w:eastAsia="宋体" w:cs="Times New Roman"/>
                <w:b w:val="0"/>
                <w:bCs/>
                <w:szCs w:val="21"/>
              </w:rPr>
              <w:t>分；</w:t>
            </w:r>
          </w:p>
          <w:p>
            <w:pPr>
              <w:snapToGrid w:val="0"/>
              <w:rPr>
                <w:rStyle w:val="8"/>
                <w:rFonts w:hint="eastAsia" w:ascii="Times New Roman" w:hAnsi="Times New Roman" w:eastAsia="宋体" w:cs="Times New Roman"/>
                <w:b w:val="0"/>
                <w:bCs/>
                <w:szCs w:val="21"/>
              </w:rPr>
            </w:pPr>
            <w:r>
              <w:rPr>
                <w:rStyle w:val="8"/>
                <w:rFonts w:hint="eastAsia" w:ascii="Times New Roman" w:hAnsi="Times New Roman" w:eastAsia="宋体" w:cs="Times New Roman"/>
                <w:b w:val="0"/>
                <w:bCs/>
                <w:szCs w:val="21"/>
              </w:rPr>
              <w:t>（3）投标单位承担过省部级（含）及以上土壤或固体废物污染相关研究课题或科研项目的得4分（提供证明材料复印件加盖公章）；</w:t>
            </w:r>
          </w:p>
          <w:p>
            <w:pPr>
              <w:snapToGrid w:val="0"/>
              <w:rPr>
                <w:rStyle w:val="8"/>
                <w:rFonts w:hint="eastAsia" w:ascii="Times New Roman" w:hAnsi="Times New Roman" w:eastAsia="宋体" w:cs="Times New Roman"/>
                <w:b w:val="0"/>
                <w:bCs/>
                <w:szCs w:val="21"/>
              </w:rPr>
            </w:pPr>
            <w:r>
              <w:rPr>
                <w:rStyle w:val="8"/>
                <w:rFonts w:hint="eastAsia" w:ascii="Times New Roman" w:hAnsi="Times New Roman" w:eastAsia="宋体" w:cs="Times New Roman"/>
                <w:b w:val="0"/>
                <w:bCs/>
                <w:szCs w:val="21"/>
              </w:rPr>
              <w:t>（4）投标单位具有土壤或固体废物污染防治相关专利的，每提供一个得1分，本项最高得</w:t>
            </w:r>
            <w:r>
              <w:rPr>
                <w:rStyle w:val="8"/>
                <w:rFonts w:hint="eastAsia" w:ascii="Times New Roman" w:hAnsi="Times New Roman" w:eastAsia="宋体" w:cs="Times New Roman"/>
                <w:b w:val="0"/>
                <w:bCs/>
                <w:szCs w:val="21"/>
                <w:lang w:val="en-US"/>
              </w:rPr>
              <w:t>2</w:t>
            </w:r>
            <w:r>
              <w:rPr>
                <w:rStyle w:val="8"/>
                <w:rFonts w:hint="eastAsia" w:ascii="Times New Roman" w:hAnsi="Times New Roman" w:eastAsia="宋体" w:cs="Times New Roman"/>
                <w:b w:val="0"/>
                <w:bCs/>
                <w:szCs w:val="21"/>
              </w:rPr>
              <w:t>分（提供证明材料复印件加盖公章）。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相关业绩</w:t>
            </w:r>
          </w:p>
        </w:tc>
        <w:tc>
          <w:tcPr>
            <w:tcW w:w="367"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10</w:t>
            </w:r>
          </w:p>
        </w:tc>
        <w:tc>
          <w:tcPr>
            <w:tcW w:w="4042" w:type="pct"/>
            <w:vAlign w:val="center"/>
          </w:tcPr>
          <w:p>
            <w:pPr>
              <w:snapToGrid w:val="0"/>
              <w:rPr>
                <w:rStyle w:val="8"/>
                <w:rFonts w:ascii="Times New Roman" w:hAnsi="Times New Roman" w:eastAsia="宋体"/>
                <w:szCs w:val="21"/>
              </w:rPr>
            </w:pPr>
            <w:r>
              <w:rPr>
                <w:rStyle w:val="8"/>
                <w:rFonts w:ascii="Times New Roman" w:hAnsi="Times New Roman" w:eastAsia="宋体"/>
                <w:szCs w:val="21"/>
              </w:rPr>
              <w:t>投标单位自2021年1月1日以来至今（以合同签订时间为准）承担过</w:t>
            </w:r>
            <w:r>
              <w:rPr>
                <w:rStyle w:val="8"/>
                <w:rFonts w:hint="eastAsia" w:ascii="Times New Roman" w:hAnsi="Times New Roman" w:eastAsia="宋体"/>
                <w:szCs w:val="21"/>
              </w:rPr>
              <w:t>生态环境管理部门委托的隐患排查类工作</w:t>
            </w:r>
            <w:r>
              <w:rPr>
                <w:rStyle w:val="8"/>
                <w:rFonts w:ascii="Times New Roman" w:hAnsi="Times New Roman" w:eastAsia="宋体"/>
                <w:szCs w:val="21"/>
              </w:rPr>
              <w:t>业绩</w:t>
            </w:r>
            <w:r>
              <w:rPr>
                <w:rStyle w:val="8"/>
                <w:rFonts w:hint="eastAsia" w:ascii="Times New Roman" w:hAnsi="Times New Roman" w:eastAsia="宋体"/>
                <w:szCs w:val="21"/>
              </w:rPr>
              <w:t>的</w:t>
            </w:r>
            <w:r>
              <w:rPr>
                <w:rStyle w:val="8"/>
                <w:rFonts w:ascii="Times New Roman" w:hAnsi="Times New Roman" w:eastAsia="宋体"/>
                <w:szCs w:val="21"/>
              </w:rPr>
              <w:t>，每有一个得2分，最高10分。</w:t>
            </w:r>
          </w:p>
          <w:p>
            <w:pPr>
              <w:snapToGrid w:val="0"/>
              <w:rPr>
                <w:rStyle w:val="8"/>
                <w:rFonts w:ascii="Times New Roman" w:hAnsi="Times New Roman" w:eastAsia="宋体"/>
                <w:szCs w:val="21"/>
              </w:rPr>
            </w:pPr>
            <w:r>
              <w:rPr>
                <w:rStyle w:val="8"/>
                <w:rFonts w:ascii="Times New Roman" w:hAnsi="Times New Roman" w:eastAsia="宋体"/>
                <w:szCs w:val="21"/>
              </w:rPr>
              <w:t>响应文件中须提供合同复印件加盖公章，未提供的不得分。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项目负责人</w:t>
            </w:r>
          </w:p>
        </w:tc>
        <w:tc>
          <w:tcPr>
            <w:tcW w:w="367" w:type="pct"/>
            <w:vAlign w:val="center"/>
          </w:tcPr>
          <w:p>
            <w:pPr>
              <w:snapToGrid w:val="0"/>
              <w:jc w:val="center"/>
              <w:rPr>
                <w:kern w:val="0"/>
                <w:szCs w:val="21"/>
              </w:rPr>
            </w:pPr>
            <w:r>
              <w:rPr>
                <w:kern w:val="0"/>
                <w:szCs w:val="21"/>
              </w:rPr>
              <w:t>10</w:t>
            </w:r>
          </w:p>
        </w:tc>
        <w:tc>
          <w:tcPr>
            <w:tcW w:w="4042" w:type="pct"/>
            <w:vAlign w:val="center"/>
          </w:tcPr>
          <w:p>
            <w:pPr>
              <w:widowControl/>
              <w:snapToGrid w:val="0"/>
              <w:rPr>
                <w:kern w:val="0"/>
                <w:szCs w:val="21"/>
              </w:rPr>
            </w:pPr>
            <w:r>
              <w:rPr>
                <w:kern w:val="0"/>
                <w:szCs w:val="21"/>
              </w:rPr>
              <w:t>（1）项目负责人具有环境类正高级工程师职称得</w:t>
            </w:r>
            <w:r>
              <w:rPr>
                <w:rFonts w:hint="eastAsia"/>
                <w:kern w:val="0"/>
                <w:szCs w:val="21"/>
                <w:lang w:val="en-US" w:eastAsia="zh-CN"/>
              </w:rPr>
              <w:t>6</w:t>
            </w:r>
            <w:r>
              <w:rPr>
                <w:kern w:val="0"/>
                <w:szCs w:val="21"/>
              </w:rPr>
              <w:t>分，副高级工程师职称得2分，最高得</w:t>
            </w:r>
            <w:r>
              <w:rPr>
                <w:rFonts w:hint="eastAsia"/>
                <w:kern w:val="0"/>
                <w:szCs w:val="21"/>
                <w:lang w:val="en-US" w:eastAsia="zh-CN"/>
              </w:rPr>
              <w:t>6</w:t>
            </w:r>
            <w:r>
              <w:rPr>
                <w:kern w:val="0"/>
                <w:szCs w:val="21"/>
              </w:rPr>
              <w:t>分（按最高职称计分，不重复累加）；</w:t>
            </w:r>
          </w:p>
          <w:p>
            <w:pPr>
              <w:widowControl/>
              <w:snapToGrid w:val="0"/>
              <w:rPr>
                <w:kern w:val="0"/>
                <w:szCs w:val="21"/>
              </w:rPr>
            </w:pPr>
            <w:r>
              <w:rPr>
                <w:kern w:val="0"/>
                <w:szCs w:val="21"/>
              </w:rPr>
              <w:t>（2）项目负责人具备注册环保工程师证书得2分，具备环境影响评价工程师证书的得2分，最高得</w:t>
            </w:r>
            <w:r>
              <w:rPr>
                <w:rFonts w:hint="eastAsia"/>
                <w:kern w:val="0"/>
                <w:szCs w:val="21"/>
                <w:lang w:val="en-US" w:eastAsia="zh-CN"/>
              </w:rPr>
              <w:t>4</w:t>
            </w:r>
            <w:r>
              <w:rPr>
                <w:kern w:val="0"/>
                <w:szCs w:val="21"/>
              </w:rPr>
              <w:t>分；</w:t>
            </w:r>
          </w:p>
          <w:p>
            <w:pPr>
              <w:widowControl/>
              <w:snapToGrid w:val="0"/>
              <w:rPr>
                <w:kern w:val="0"/>
                <w:szCs w:val="21"/>
              </w:rPr>
            </w:pPr>
            <w:r>
              <w:rPr>
                <w:kern w:val="0"/>
                <w:szCs w:val="21"/>
              </w:rPr>
              <w:t>注（所有材料均需加盖响应单位公章）：提供职称证书、资格证书等材料；提供开标前3个月所在供应商单位为上述人员缴纳的社保缴费证明材料，未提供或无效的不得分。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项目组成员</w:t>
            </w:r>
          </w:p>
        </w:tc>
        <w:tc>
          <w:tcPr>
            <w:tcW w:w="367"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20</w:t>
            </w:r>
          </w:p>
        </w:tc>
        <w:tc>
          <w:tcPr>
            <w:tcW w:w="4042" w:type="pct"/>
            <w:vAlign w:val="center"/>
          </w:tcPr>
          <w:p>
            <w:pPr>
              <w:snapToGrid w:val="0"/>
              <w:rPr>
                <w:kern w:val="0"/>
                <w:szCs w:val="21"/>
              </w:rPr>
            </w:pPr>
            <w:r>
              <w:rPr>
                <w:kern w:val="0"/>
                <w:szCs w:val="21"/>
              </w:rPr>
              <w:t>（1）项目组其他人员</w:t>
            </w:r>
            <w:r>
              <w:rPr>
                <w:rFonts w:hint="eastAsia"/>
                <w:kern w:val="0"/>
                <w:szCs w:val="21"/>
              </w:rPr>
              <w:t>（</w:t>
            </w:r>
            <w:r>
              <w:rPr>
                <w:kern w:val="0"/>
                <w:szCs w:val="21"/>
              </w:rPr>
              <w:t>不含项目负责人</w:t>
            </w:r>
            <w:r>
              <w:rPr>
                <w:rFonts w:hint="eastAsia"/>
                <w:kern w:val="0"/>
                <w:szCs w:val="21"/>
              </w:rPr>
              <w:t>）</w:t>
            </w:r>
            <w:r>
              <w:rPr>
                <w:kern w:val="0"/>
                <w:szCs w:val="21"/>
              </w:rPr>
              <w:t>具有环境类正高级工程师职称的，有一人得</w:t>
            </w:r>
            <w:r>
              <w:rPr>
                <w:rFonts w:hint="eastAsia"/>
                <w:kern w:val="0"/>
                <w:szCs w:val="21"/>
                <w:lang w:val="en-US" w:eastAsia="zh-CN"/>
              </w:rPr>
              <w:t>4</w:t>
            </w:r>
            <w:bookmarkStart w:id="0" w:name="_GoBack"/>
            <w:bookmarkEnd w:id="0"/>
            <w:r>
              <w:rPr>
                <w:kern w:val="0"/>
                <w:szCs w:val="21"/>
              </w:rPr>
              <w:t>分，最高得12分；</w:t>
            </w:r>
          </w:p>
          <w:p>
            <w:pPr>
              <w:snapToGrid w:val="0"/>
              <w:rPr>
                <w:kern w:val="0"/>
                <w:szCs w:val="21"/>
              </w:rPr>
            </w:pPr>
            <w:r>
              <w:rPr>
                <w:kern w:val="0"/>
                <w:szCs w:val="21"/>
              </w:rPr>
              <w:t>（2）项目组其他人员</w:t>
            </w:r>
            <w:r>
              <w:rPr>
                <w:rFonts w:hint="eastAsia"/>
                <w:kern w:val="0"/>
                <w:szCs w:val="21"/>
              </w:rPr>
              <w:t>（</w:t>
            </w:r>
            <w:r>
              <w:rPr>
                <w:kern w:val="0"/>
                <w:szCs w:val="21"/>
              </w:rPr>
              <w:t>不含项目负责人</w:t>
            </w:r>
            <w:r>
              <w:rPr>
                <w:rFonts w:hint="eastAsia"/>
                <w:kern w:val="0"/>
                <w:szCs w:val="21"/>
              </w:rPr>
              <w:t>）</w:t>
            </w:r>
            <w:r>
              <w:rPr>
                <w:kern w:val="0"/>
                <w:szCs w:val="21"/>
              </w:rPr>
              <w:t>具备注册环保工程师且同时</w:t>
            </w:r>
            <w:r>
              <w:rPr>
                <w:rFonts w:hint="eastAsia"/>
                <w:kern w:val="0"/>
                <w:szCs w:val="21"/>
              </w:rPr>
              <w:t>具备</w:t>
            </w:r>
            <w:r>
              <w:rPr>
                <w:kern w:val="0"/>
                <w:szCs w:val="21"/>
              </w:rPr>
              <w:t>环境影响评价工程师的，有一人得2分，最高得8分。</w:t>
            </w:r>
          </w:p>
          <w:p>
            <w:pPr>
              <w:snapToGrid w:val="0"/>
              <w:rPr>
                <w:kern w:val="0"/>
                <w:szCs w:val="21"/>
              </w:rPr>
            </w:pPr>
            <w:r>
              <w:rPr>
                <w:kern w:val="0"/>
                <w:szCs w:val="21"/>
              </w:rPr>
              <w:t>注（所有材料均需加盖响应单位公章）：以上人员不得重复计分，提供职称证书、资格证书等材料；提供开标前3个月所在供应商单位为上述人员缴纳的社保缴费证明材料，未提供或无效的不得分。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89"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技术方案</w:t>
            </w:r>
          </w:p>
        </w:tc>
        <w:tc>
          <w:tcPr>
            <w:tcW w:w="367" w:type="pct"/>
            <w:vAlign w:val="center"/>
          </w:tcPr>
          <w:p>
            <w:pPr>
              <w:snapToGrid w:val="0"/>
              <w:jc w:val="center"/>
              <w:rPr>
                <w:rStyle w:val="8"/>
                <w:rFonts w:ascii="Times New Roman" w:hAnsi="Times New Roman" w:eastAsia="宋体"/>
                <w:szCs w:val="21"/>
              </w:rPr>
            </w:pPr>
            <w:r>
              <w:rPr>
                <w:rStyle w:val="8"/>
                <w:rFonts w:ascii="Times New Roman" w:hAnsi="Times New Roman" w:eastAsia="宋体"/>
                <w:szCs w:val="21"/>
              </w:rPr>
              <w:t>24</w:t>
            </w:r>
          </w:p>
        </w:tc>
        <w:tc>
          <w:tcPr>
            <w:tcW w:w="4042" w:type="pct"/>
            <w:vAlign w:val="center"/>
          </w:tcPr>
          <w:p>
            <w:pPr>
              <w:snapToGrid w:val="0"/>
              <w:rPr>
                <w:kern w:val="0"/>
                <w:szCs w:val="21"/>
              </w:rPr>
            </w:pPr>
            <w:r>
              <w:rPr>
                <w:kern w:val="0"/>
                <w:szCs w:val="21"/>
              </w:rPr>
              <w:t>对技术服务方案的完整性、针对性以及对本项目的理解程度进行打分：</w:t>
            </w:r>
          </w:p>
          <w:p>
            <w:pPr>
              <w:snapToGrid w:val="0"/>
              <w:rPr>
                <w:kern w:val="0"/>
                <w:szCs w:val="21"/>
              </w:rPr>
            </w:pPr>
            <w:r>
              <w:rPr>
                <w:rFonts w:hint="eastAsia"/>
                <w:kern w:val="0"/>
                <w:szCs w:val="21"/>
              </w:rPr>
              <w:t>（1）根据工作方案是否详细得当，技术方案是否科学合理，是否满足采购文件规范要求的，是否准确掌握本项目研究工作重难点、拟解决的问题识别是否到位，项目特点整体掌握是否到位，综合对比评定：工作方案详细得当、科学合理的得10分；工作方案较详细得当、科学合理的得6分；工作方案一般的得2分；未提供不得分。</w:t>
            </w:r>
          </w:p>
          <w:p>
            <w:pPr>
              <w:snapToGrid w:val="0"/>
              <w:rPr>
                <w:kern w:val="0"/>
                <w:szCs w:val="21"/>
              </w:rPr>
            </w:pPr>
            <w:r>
              <w:rPr>
                <w:rFonts w:hint="eastAsia"/>
                <w:kern w:val="0"/>
                <w:szCs w:val="21"/>
              </w:rPr>
              <w:t>（2）根据总体设计时间安排是否满足文件要求，工期及实施组织计划是否合理、得当，是否满足采购文件及规范要求，综合对比评定：工期及实施组织计划方案合理、得当并满足采购文件要求的得4分；工期及实施组织计划方案较合理、得当并基本满足采购文件要求的得2分；工期及实施组织计划方案般并基本满足采购文件要求的得1分；</w:t>
            </w:r>
          </w:p>
          <w:p>
            <w:pPr>
              <w:snapToGrid w:val="0"/>
              <w:rPr>
                <w:kern w:val="0"/>
                <w:szCs w:val="21"/>
              </w:rPr>
            </w:pPr>
            <w:r>
              <w:rPr>
                <w:rFonts w:hint="eastAsia"/>
                <w:kern w:val="0"/>
                <w:szCs w:val="21"/>
              </w:rPr>
              <w:t>未提供不得分。</w:t>
            </w:r>
          </w:p>
          <w:p>
            <w:pPr>
              <w:snapToGrid w:val="0"/>
              <w:rPr>
                <w:kern w:val="0"/>
                <w:szCs w:val="21"/>
              </w:rPr>
            </w:pPr>
            <w:r>
              <w:rPr>
                <w:rFonts w:hint="eastAsia"/>
                <w:kern w:val="0"/>
                <w:szCs w:val="21"/>
              </w:rPr>
              <w:t>（3）根据响应文件中提供的质量控制措施，是否满足质量控制要求，保证报告的质量，综合对比评定：质量控制措施详尽并合理可行的得6分；质量控制措施较详尽并合理可行的得3分；质量控制措施一般并基本可行的得1分；未提供不得分。</w:t>
            </w:r>
          </w:p>
          <w:p>
            <w:pPr>
              <w:snapToGrid w:val="0"/>
            </w:pPr>
            <w:r>
              <w:rPr>
                <w:rFonts w:hint="eastAsia"/>
                <w:kern w:val="0"/>
                <w:szCs w:val="21"/>
              </w:rPr>
              <w:t>（4）供应商提供项目推进过程中各项保障措施以及相关应急预案，项目完成后对采购人是否有完备的服务措施和承诺，针对本项目特点是否有合理可行的建议，综合对比评定：项目服务保障措施科学合理、可操作性强的得4分；项目服务保障措施校科学合理、可操作性较强的得2分；项目服务保障措施一般的得1分；未提供不得分。</w:t>
            </w:r>
          </w:p>
        </w:tc>
      </w:tr>
    </w:tbl>
    <w:p/>
    <w:p/>
    <w:sectPr>
      <w:headerReference r:id="rId3"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49"/>
    <w:rsid w:val="000C4449"/>
    <w:rsid w:val="0014289B"/>
    <w:rsid w:val="00382E3C"/>
    <w:rsid w:val="00586B76"/>
    <w:rsid w:val="00783278"/>
    <w:rsid w:val="009167E4"/>
    <w:rsid w:val="00CB217F"/>
    <w:rsid w:val="00F24C4A"/>
    <w:rsid w:val="0F08268C"/>
    <w:rsid w:val="4040252F"/>
    <w:rsid w:val="711A4249"/>
    <w:rsid w:val="76DA7B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link w:val="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4 字符"/>
    <w:basedOn w:val="6"/>
    <w:link w:val="2"/>
    <w:semiHidden/>
    <w:uiPriority w:val="9"/>
    <w:rPr>
      <w:rFonts w:asciiTheme="majorHAnsi" w:hAnsiTheme="majorHAnsi" w:eastAsiaTheme="majorEastAsia" w:cstheme="majorBidi"/>
      <w:b/>
      <w:bCs/>
      <w:sz w:val="28"/>
      <w:szCs w:val="28"/>
    </w:rPr>
  </w:style>
  <w:style w:type="character" w:customStyle="1" w:styleId="8">
    <w:name w:val="NormalCharacter"/>
    <w:qFormat/>
    <w:uiPriority w:val="0"/>
    <w:rPr>
      <w:rFonts w:ascii="黑体" w:hAnsi="黑体" w:eastAsia="Arial"/>
      <w:kern w:val="2"/>
      <w:sz w:val="21"/>
      <w:szCs w:val="24"/>
      <w:lang w:val="en-US" w:eastAsia="zh-CN" w:bidi="ar-SA"/>
    </w:rPr>
  </w:style>
  <w:style w:type="character" w:customStyle="1" w:styleId="9">
    <w:name w:val="页眉 字符"/>
    <w:basedOn w:val="6"/>
    <w:link w:val="4"/>
    <w:uiPriority w:val="99"/>
    <w:rPr>
      <w:rFonts w:ascii="Times New Roman" w:hAnsi="Times New Roman" w:eastAsia="宋体" w:cs="Times New Roman"/>
      <w:sz w:val="18"/>
      <w:szCs w:val="18"/>
    </w:rPr>
  </w:style>
  <w:style w:type="character" w:customStyle="1" w:styleId="10">
    <w:name w:val="页脚 字符"/>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229</Words>
  <Characters>1311</Characters>
  <Lines>10</Lines>
  <Paragraphs>3</Paragraphs>
  <TotalTime>25</TotalTime>
  <ScaleCrop>false</ScaleCrop>
  <LinksUpToDate>false</LinksUpToDate>
  <CharactersWithSpaces>1537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2026-08-05T04:59:00Z</dcterms:created>
  <dcterms:modified xsi:type="dcterms:W3CDTF">2026-08-06T03:13:51Z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