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520" w:lineRule="exact"/>
        <w:jc w:val="center"/>
        <w:rPr>
          <w:rFonts w:hint="default" w:ascii="Times New Roman" w:hAnsi="Times New Roman" w:eastAsia="方正小标宋_GBK" w:cs="Times New Roman"/>
          <w:bCs/>
          <w:color w:val="auto"/>
          <w:sz w:val="44"/>
          <w:szCs w:val="44"/>
          <w:shd w:val="clear" w:color="auto" w:fill="FFFFFF"/>
          <w:lang w:val="en-US" w:eastAsia="zh-CN"/>
        </w:rPr>
      </w:pPr>
    </w:p>
    <w:p>
      <w:pPr>
        <w:pStyle w:val="5"/>
        <w:shd w:val="clear" w:color="auto" w:fill="FFFFFF"/>
        <w:spacing w:before="0" w:beforeAutospacing="0" w:after="0" w:afterAutospacing="0" w:line="520" w:lineRule="exact"/>
        <w:jc w:val="center"/>
        <w:rPr>
          <w:rFonts w:hint="default" w:ascii="Times New Roman" w:hAnsi="Times New Roman" w:eastAsia="方正小标宋_GBK" w:cs="Times New Roman"/>
          <w:bCs/>
          <w:color w:val="auto"/>
          <w:sz w:val="44"/>
          <w:szCs w:val="44"/>
          <w:shd w:val="clear" w:color="auto" w:fill="FFFFFF"/>
        </w:rPr>
      </w:pPr>
      <w:r>
        <w:rPr>
          <w:rFonts w:hint="default" w:ascii="Times New Roman" w:hAnsi="Times New Roman" w:eastAsia="方正小标宋_GBK" w:cs="Times New Roman"/>
          <w:bCs/>
          <w:color w:val="auto"/>
          <w:sz w:val="44"/>
          <w:szCs w:val="44"/>
          <w:shd w:val="clear" w:color="auto" w:fill="FFFFFF"/>
          <w:lang w:val="en-US" w:eastAsia="zh-CN"/>
        </w:rPr>
        <w:t>杨舍镇2</w:t>
      </w:r>
      <w:r>
        <w:rPr>
          <w:rFonts w:hint="eastAsia" w:ascii="Times New Roman" w:hAnsi="Times New Roman" w:eastAsia="方正小标宋_GBK" w:cs="Times New Roman"/>
          <w:bCs/>
          <w:color w:val="auto"/>
          <w:sz w:val="44"/>
          <w:szCs w:val="44"/>
          <w:shd w:val="clear" w:color="auto" w:fill="FFFFFF"/>
          <w:lang w:val="en-US" w:eastAsia="zh-CN"/>
        </w:rPr>
        <w:t>020</w:t>
      </w:r>
      <w:r>
        <w:rPr>
          <w:rFonts w:hint="default" w:ascii="Times New Roman" w:hAnsi="Times New Roman" w:eastAsia="方正小标宋_GBK" w:cs="Times New Roman"/>
          <w:bCs/>
          <w:color w:val="auto"/>
          <w:sz w:val="44"/>
          <w:szCs w:val="44"/>
          <w:shd w:val="clear" w:color="auto" w:fill="FFFFFF"/>
          <w:lang w:val="en-US" w:eastAsia="zh-CN"/>
        </w:rPr>
        <w:t>年度</w:t>
      </w:r>
      <w:r>
        <w:rPr>
          <w:rFonts w:hint="default" w:ascii="Times New Roman" w:hAnsi="Times New Roman" w:eastAsia="方正小标宋_GBK" w:cs="Times New Roman"/>
          <w:bCs/>
          <w:color w:val="auto"/>
          <w:sz w:val="44"/>
          <w:szCs w:val="44"/>
          <w:shd w:val="clear" w:color="auto" w:fill="FFFFFF"/>
        </w:rPr>
        <w:t>政府信息公开工作</w:t>
      </w:r>
    </w:p>
    <w:p>
      <w:pPr>
        <w:pStyle w:val="5"/>
        <w:shd w:val="clear" w:color="auto" w:fill="FFFFFF"/>
        <w:spacing w:before="0" w:beforeAutospacing="0" w:after="0" w:afterAutospacing="0" w:line="520" w:lineRule="exact"/>
        <w:jc w:val="center"/>
        <w:rPr>
          <w:rFonts w:hint="default" w:ascii="Times New Roman" w:hAnsi="Times New Roman" w:eastAsia="方正小标宋_GBK" w:cs="Times New Roman"/>
          <w:bCs/>
          <w:color w:val="auto"/>
          <w:sz w:val="44"/>
          <w:szCs w:val="44"/>
        </w:rPr>
      </w:pPr>
      <w:r>
        <w:rPr>
          <w:rFonts w:hint="default" w:ascii="Times New Roman" w:hAnsi="Times New Roman" w:eastAsia="方正小标宋_GBK" w:cs="Times New Roman"/>
          <w:bCs/>
          <w:color w:val="auto"/>
          <w:sz w:val="44"/>
          <w:szCs w:val="44"/>
          <w:shd w:val="clear" w:color="auto" w:fill="FFFFFF"/>
        </w:rPr>
        <w:t>年度报告</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firstLine="420"/>
        <w:jc w:val="both"/>
        <w:textAlignment w:val="auto"/>
        <w:outlineLvl w:val="9"/>
        <w:rPr>
          <w:rFonts w:hint="default" w:ascii="Times New Roman" w:hAnsi="Times New Roman" w:eastAsia="方正小标宋简体" w:cs="Times New Roman"/>
          <w:color w:val="auto"/>
          <w:sz w:val="36"/>
          <w:szCs w:val="36"/>
        </w:rPr>
      </w:pP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根据《中华人民共和国政府信息公开条例》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国务院办公厅政府信息与政务公开办公室关于政府信息公开工作年度报告有关事项的通知</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省政府办公厅《关于切实做好政府信息公开工作年度报告和规范政府信息公开平台有关事项的通知》和市政府办公室电话通知</w:t>
      </w:r>
      <w:r>
        <w:rPr>
          <w:rFonts w:hint="eastAsia" w:ascii="Times New Roman" w:hAnsi="Times New Roman" w:eastAsia="仿宋_GB2312" w:cs="Times New Roman"/>
          <w:color w:val="auto"/>
          <w:sz w:val="32"/>
          <w:szCs w:val="32"/>
          <w:lang w:val="en-US" w:eastAsia="zh-CN"/>
        </w:rPr>
        <w:t>等文件</w:t>
      </w:r>
      <w:r>
        <w:rPr>
          <w:rFonts w:hint="default" w:ascii="Times New Roman" w:hAnsi="Times New Roman" w:eastAsia="仿宋_GB2312" w:cs="Times New Roman"/>
          <w:color w:val="auto"/>
          <w:sz w:val="32"/>
          <w:szCs w:val="32"/>
        </w:rPr>
        <w:t>要求，</w:t>
      </w:r>
      <w:r>
        <w:rPr>
          <w:rFonts w:hint="eastAsia" w:ascii="Times New Roman" w:hAnsi="Times New Roman" w:eastAsia="仿宋_GB2312" w:cs="Times New Roman"/>
          <w:color w:val="auto"/>
          <w:sz w:val="32"/>
          <w:szCs w:val="32"/>
          <w:lang w:val="en-US" w:eastAsia="zh-CN"/>
        </w:rPr>
        <w:t>杨舍镇政府</w:t>
      </w:r>
      <w:r>
        <w:rPr>
          <w:rFonts w:hint="default" w:ascii="Times New Roman" w:hAnsi="Times New Roman" w:eastAsia="仿宋_GB2312" w:cs="Times New Roman"/>
          <w:color w:val="auto"/>
          <w:sz w:val="32"/>
          <w:szCs w:val="32"/>
        </w:rPr>
        <w:t>切实做好政府信息公开工作，确保政府信息公开内容更详实、更优化，充分保障广大群众的知情权和参与权</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现</w:t>
      </w:r>
      <w:r>
        <w:rPr>
          <w:rFonts w:hint="default" w:ascii="Times New Roman" w:hAnsi="Times New Roman" w:eastAsia="仿宋_GB2312" w:cs="Times New Roman"/>
          <w:color w:val="auto"/>
          <w:sz w:val="32"/>
          <w:szCs w:val="32"/>
        </w:rPr>
        <w:t>结合工作实际，形成</w:t>
      </w:r>
      <w:r>
        <w:rPr>
          <w:rFonts w:hint="default" w:ascii="Times New Roman" w:hAnsi="Times New Roman" w:eastAsia="仿宋_GB2312" w:cs="Times New Roman"/>
          <w:color w:val="auto"/>
          <w:sz w:val="32"/>
          <w:szCs w:val="32"/>
          <w:lang w:val="en-US" w:eastAsia="zh-CN"/>
        </w:rPr>
        <w:t>杨舍镇</w:t>
      </w:r>
      <w:r>
        <w:rPr>
          <w:rFonts w:hint="default"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年度政府信息公开年度报告</w:t>
      </w:r>
      <w:r>
        <w:rPr>
          <w:rFonts w:hint="default" w:ascii="Times New Roman" w:hAnsi="Times New Roman" w:eastAsia="仿宋_GB2312" w:cs="Times New Roman"/>
          <w:color w:val="auto"/>
          <w:sz w:val="32"/>
          <w:szCs w:val="32"/>
          <w:lang w:val="en-US" w:eastAsia="zh-CN"/>
        </w:rPr>
        <w:t>如下：</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一、总体情况</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杨舍镇不断完善政府信息公开制度，加强政府信息发布、解读及回应工作，大力推进重点领域政府信息公开，不断增强政府信息公开时效和质量，有效保障了人民群众的知情权、参与权和监督权。</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 w:hAnsi="楷体" w:eastAsia="楷体" w:cs="楷体"/>
          <w:color w:val="auto"/>
          <w:sz w:val="32"/>
          <w:szCs w:val="32"/>
          <w:lang w:val="en-US" w:eastAsia="zh-CN"/>
        </w:rPr>
        <w:t>1.</w:t>
      </w:r>
      <w:r>
        <w:rPr>
          <w:rFonts w:hint="eastAsia" w:ascii="楷体" w:hAnsi="楷体" w:eastAsia="楷体" w:cs="楷体"/>
          <w:color w:val="auto"/>
          <w:sz w:val="32"/>
          <w:szCs w:val="32"/>
        </w:rPr>
        <w:t>主动公开政府信息情况</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按照</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公开为常态、不公开为例外</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的原则</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严格按照政府信息发布要求，规范有效、及时准确做好政府信息公开工作。一是拓宽主动公开范围。将政府网站作为政府信息公开的主渠道，积极拓展政务公开途径</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在</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中国张家港</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、经开区门户网站公开各类政府信息。发布《经开区（杨舍镇）帮代办服务工作实施方案》等政策图文解读，积极拓展政策宣传范围、扩大宣传效果。二是加强重要决策公开。在</w:t>
      </w:r>
      <w:r>
        <w:rPr>
          <w:rFonts w:hint="eastAsia" w:ascii="Times New Roman" w:hAnsi="Times New Roman" w:eastAsia="仿宋_GB2312" w:cs="Times New Roman"/>
          <w:color w:val="auto"/>
          <w:sz w:val="32"/>
          <w:szCs w:val="32"/>
          <w:lang w:eastAsia="zh-CN"/>
        </w:rPr>
        <w:t>《经开区（杨舍镇）关于应对新冠肺炎疫情支持企业共渡难关的若干措施》《关于印发《关于推动经济高质量发展的若干政策（修订版）》的通知》</w:t>
      </w:r>
      <w:r>
        <w:rPr>
          <w:rFonts w:hint="default" w:ascii="Times New Roman" w:hAnsi="Times New Roman" w:eastAsia="仿宋_GB2312" w:cs="Times New Roman"/>
          <w:color w:val="auto"/>
          <w:sz w:val="32"/>
          <w:szCs w:val="32"/>
        </w:rPr>
        <w:t>等重要文件起草、</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民生实事工程</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城建计划</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等事关百姓切身利益的重大决策过程中，通过政府网站、</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幸福杨舍</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微信等平台发布征集意见公告，深入村、社区、企业，召集群众、企业代表及其他利益群体深入座谈，充分广泛征求意见，确保决策科学民主。三是强化重点领域公开。做好财政预决算、保障性住房、重大项目、招投标、食品药品、公共资源等重点领域信息公开。除</w:t>
      </w:r>
      <w:r>
        <w:rPr>
          <w:rFonts w:hint="eastAsia" w:ascii="Times New Roman" w:hAnsi="Times New Roman" w:eastAsia="仿宋_GB2312" w:cs="Times New Roman"/>
          <w:color w:val="auto"/>
          <w:sz w:val="32"/>
          <w:szCs w:val="32"/>
          <w:lang w:val="en-US" w:eastAsia="zh-CN"/>
        </w:rPr>
        <w:t>履行</w:t>
      </w:r>
      <w:r>
        <w:rPr>
          <w:rFonts w:hint="default" w:ascii="Times New Roman" w:hAnsi="Times New Roman" w:eastAsia="仿宋_GB2312" w:cs="Times New Roman"/>
          <w:color w:val="auto"/>
          <w:sz w:val="32"/>
          <w:szCs w:val="32"/>
        </w:rPr>
        <w:t>杨舍镇政府文件公开</w:t>
      </w:r>
      <w:r>
        <w:rPr>
          <w:rFonts w:hint="eastAsia" w:ascii="Times New Roman" w:hAnsi="Times New Roman" w:eastAsia="仿宋_GB2312" w:cs="Times New Roman"/>
          <w:color w:val="auto"/>
          <w:sz w:val="32"/>
          <w:szCs w:val="32"/>
          <w:lang w:val="en-US" w:eastAsia="zh-CN"/>
        </w:rPr>
        <w:t>职责外</w:t>
      </w:r>
      <w:r>
        <w:rPr>
          <w:rFonts w:hint="default" w:ascii="Times New Roman" w:hAnsi="Times New Roman" w:eastAsia="仿宋_GB2312" w:cs="Times New Roman"/>
          <w:color w:val="auto"/>
          <w:sz w:val="32"/>
          <w:szCs w:val="32"/>
        </w:rPr>
        <w:t>，还主动公开经开区党工委、管委会制发文件，进一步满足群众知情权和参与权。</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楷体" w:hAnsi="楷体" w:eastAsia="楷体" w:cs="楷体"/>
          <w:color w:val="auto"/>
          <w:sz w:val="32"/>
          <w:szCs w:val="32"/>
          <w:lang w:val="en-US" w:eastAsia="zh-CN"/>
        </w:rPr>
        <w:t>2.政府信息依申请公开办理情况</w:t>
      </w:r>
      <w:r>
        <w:rPr>
          <w:rFonts w:hint="default" w:ascii="Times New Roman" w:hAnsi="Times New Roman" w:eastAsia="仿宋_GB2312" w:cs="Times New Roman"/>
          <w:color w:val="auto"/>
          <w:sz w:val="32"/>
          <w:szCs w:val="32"/>
          <w:lang w:val="en-US" w:eastAsia="zh-CN"/>
        </w:rPr>
        <w:t>。2020年度，新收到政府信息公开申请共计23件，上年度结转1件，申请人均为自然人。截止2020年底，共办结22件，2件结转下一年度继续办理。本年度处理结果包括：予以公开9件；部分公开1件；不予公开1件，属于内部事务信息；本机关无法提供9件，其中本机关不掌握相关政府信息8件，补正后申请内容仍不明确为1件；另有其他处理2件，均为不属于政府信息公开的范围。本年度政府信息公开未提起行政诉讼；提起行政复议有1件，复议结果为维持。</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eastAsia" w:ascii="楷体" w:hAnsi="楷体" w:eastAsia="楷体" w:cs="楷体"/>
          <w:color w:val="auto"/>
          <w:sz w:val="32"/>
          <w:szCs w:val="32"/>
          <w:lang w:val="en-US" w:eastAsia="zh-CN"/>
        </w:rPr>
        <w:t>3.政府信息管理情况</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坚持把政府信息公开作为重点内容抓紧抓实，多次召开会议进行专门</w:t>
      </w:r>
      <w:r>
        <w:rPr>
          <w:rFonts w:hint="default" w:ascii="Times New Roman" w:hAnsi="Times New Roman" w:eastAsia="仿宋_GB2312" w:cs="Times New Roman"/>
          <w:color w:val="auto"/>
          <w:sz w:val="32"/>
          <w:szCs w:val="32"/>
          <w:lang w:val="en-US" w:eastAsia="zh-CN"/>
        </w:rPr>
        <w:t>部署</w:t>
      </w:r>
      <w:r>
        <w:rPr>
          <w:rFonts w:hint="default" w:ascii="Times New Roman" w:hAnsi="Times New Roman" w:eastAsia="仿宋_GB2312" w:cs="Times New Roman"/>
          <w:color w:val="auto"/>
          <w:sz w:val="32"/>
          <w:szCs w:val="32"/>
        </w:rPr>
        <w:t>，形成主要领导亲自抓、相关部门参与配合、职能科室组织实施</w:t>
      </w:r>
      <w:r>
        <w:rPr>
          <w:rFonts w:hint="default" w:ascii="Times New Roman" w:hAnsi="Times New Roman" w:eastAsia="仿宋_GB2312" w:cs="Times New Roman"/>
          <w:color w:val="auto"/>
          <w:sz w:val="32"/>
          <w:szCs w:val="32"/>
          <w:lang w:val="en-US" w:eastAsia="zh-CN"/>
        </w:rPr>
        <w:t>的</w:t>
      </w:r>
      <w:r>
        <w:rPr>
          <w:rFonts w:hint="default" w:ascii="Times New Roman" w:hAnsi="Times New Roman" w:eastAsia="仿宋_GB2312" w:cs="Times New Roman"/>
          <w:color w:val="auto"/>
          <w:sz w:val="32"/>
          <w:szCs w:val="32"/>
        </w:rPr>
        <w:t>良好工作格局</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同时，</w:t>
      </w:r>
      <w:r>
        <w:rPr>
          <w:rFonts w:hint="default" w:ascii="Times New Roman" w:hAnsi="Times New Roman" w:eastAsia="仿宋_GB2312" w:cs="Times New Roman"/>
          <w:color w:val="auto"/>
          <w:sz w:val="32"/>
          <w:szCs w:val="32"/>
        </w:rPr>
        <w:t>严格执行政府信息公开的法律法规，建立健全政府信息公开申请受理答复各环节制度规范，对所公开事项内容进行审核、把关，确保公开内容的合法性、准确性、严肃性。确保公开的范围、形式、时限、程序等符合《中华人民共和国政府信息公开条例》的相关要求。</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lang w:val="en-US" w:eastAsia="zh-CN"/>
        </w:rPr>
        <w:t>4.政府信息公开平台建设情况</w:t>
      </w:r>
      <w:r>
        <w:rPr>
          <w:rFonts w:hint="eastAsia" w:ascii="Times New Roman" w:hAnsi="Times New Roman" w:eastAsia="楷体_GB2312" w:cs="Times New Roman"/>
          <w:color w:val="auto"/>
          <w:sz w:val="32"/>
          <w:szCs w:val="32"/>
          <w:lang w:val="en-US" w:eastAsia="zh-CN"/>
        </w:rPr>
        <w:t>。</w:t>
      </w:r>
      <w:r>
        <w:rPr>
          <w:rFonts w:hint="default" w:ascii="Times New Roman" w:hAnsi="Times New Roman" w:eastAsia="仿宋_GB2312" w:cs="Times New Roman"/>
          <w:color w:val="auto"/>
          <w:sz w:val="32"/>
          <w:szCs w:val="32"/>
        </w:rPr>
        <w:t>通过多种载体、多种方式着重打造与群众关系密切的公开平台，提供高效、便捷、一站式的信息获取、在线服务和互动交流</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highlight w:val="none"/>
        </w:rPr>
        <w:t>一是抓好政务服务平台体系建设。已承接苏州赋权事项144项，张家港市级赋权事项24项，承接率约74%，全年办件量约77807件，按时办结率100%。同时以“暨时办”政务服务新品牌为引领，推出企业投资建设项目及公共服务“帮代办”，发布第一批帮代办服务清单（含11项投资建设项目及27项公共服务事项），全年办理各类帮代办业务400余件。通过“幸福杨舍”微信公众号、办事大厅、各基层服务窗口等线上线下平台发布《“暨时办”民生服务一本通》电子书。在全市率先推出限额以下“电子招标采购平台”，通过网上招投标节约投标成本、提高办事效率。</w:t>
      </w:r>
      <w:r>
        <w:rPr>
          <w:rFonts w:hint="default" w:ascii="Times New Roman" w:hAnsi="Times New Roman" w:eastAsia="仿宋_GB2312" w:cs="Times New Roman"/>
          <w:color w:val="auto"/>
          <w:sz w:val="32"/>
          <w:szCs w:val="32"/>
        </w:rPr>
        <w:t>二是抓好新媒体政务平台。积极组织参与市党员干部媒介素养提升专题培训班，加强政务新媒体专题培训，开展应急演练，提高工作人员网络安全意识和业务能力。运行好“幸福杨舍”微信云矩阵，对区域内的村（社区）、学校、骨干企业政务微信公众号进行管理。做好“幸福杨舍”微信公众号的规范运营、及时更新，确保发布内容没有引发负面舆情，“幸福杨舍”微信公众号在全市政务新媒体影响力排名列板块前列。防疫期间，依托“幸福杨舍”微信公众号载体，及时传达市镇两级防控工作的相关要求和最新通知，向群众宣传疫情防控的有效措施等。在微信平台创作推出了疫情防控宣传童谣、系列广播微剧、原创手绘漫画、原创宣传海报等，开设“先锋防疫”专栏，大力宣传基层一线和党员先锋全力投入疫情防控工作的先进典型事迹。开设“文明啄木鸟行动”专栏和作风建设曝光台，做好舆情的日常监测，确保各类网络舆情早发现、早预警、早处置。积极组织投稿，在学习强国平台、“张家港发布”政务微信、“今日张家港”APP上录用稿件总数位列全市各区镇前列。三是抓好互动交流平台。依托市政府网站互动交流平台、电台日报等媒体平台，2020年，区镇举办了“全面小康·幸福杨舍”——“庆国庆迎中秋”特色文体项目展演现场直播，展示了近年来区镇文化建设的丰硕成果，引起了强烈反响。加强社会热点问题引导，落实新闻发布和报备制度，全年自主开展新闻发布2次以上。</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lang w:val="en-US" w:eastAsia="zh-CN"/>
        </w:rPr>
        <w:t>5.监督保障机制</w:t>
      </w:r>
      <w:r>
        <w:rPr>
          <w:rFonts w:hint="eastAsia" w:ascii="Times New Roman" w:hAnsi="Times New Roman" w:eastAsia="楷体_GB2312" w:cs="Times New Roman"/>
          <w:color w:val="auto"/>
          <w:sz w:val="32"/>
          <w:szCs w:val="32"/>
          <w:lang w:val="en-US" w:eastAsia="zh-CN"/>
        </w:rPr>
        <w:t>。</w:t>
      </w:r>
      <w:r>
        <w:rPr>
          <w:rFonts w:hint="default" w:ascii="Times New Roman" w:hAnsi="Times New Roman" w:eastAsia="仿宋_GB2312" w:cs="Times New Roman"/>
          <w:color w:val="auto"/>
          <w:sz w:val="32"/>
          <w:szCs w:val="32"/>
        </w:rPr>
        <w:t>杨舍镇高度重视政府信息公开工作，不断提升依法决策、科学决策、民主决策水平。落实政府信息公开工作制度，同时建立健全依申请公开、评议考核等配套工作制度，发布《关于规范门户网站信息管理的通知》，使政府信息公开工作有计划、有目标、有措施、有考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二、主动公开政府信息情况</w:t>
      </w:r>
    </w:p>
    <w:tbl>
      <w:tblPr>
        <w:tblStyle w:val="6"/>
        <w:tblW w:w="0" w:type="auto"/>
        <w:jc w:val="center"/>
        <w:tblLayout w:type="fixed"/>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val="0"/>
            <w:tcMar>
              <w:left w:w="108" w:type="dxa"/>
              <w:right w:w="108" w:type="dxa"/>
            </w:tcMar>
            <w:vAlign w:val="center"/>
          </w:tcPr>
          <w:p>
            <w:pPr>
              <w:widowControl/>
              <w:spacing w:after="180"/>
              <w:jc w:val="center"/>
              <w:rPr>
                <w:color w:val="auto"/>
              </w:rPr>
            </w:pPr>
            <w:r>
              <w:rPr>
                <w:rFonts w:hint="eastAsia" w:ascii="宋体" w:hAnsi="宋体" w:eastAsia="宋体" w:cs="宋体"/>
                <w:color w:val="auto"/>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ascii="宋体" w:hAnsi="宋体" w:eastAsia="宋体" w:cs="宋体"/>
                <w:color w:val="auto"/>
                <w:kern w:val="0"/>
                <w:sz w:val="20"/>
                <w:szCs w:val="20"/>
              </w:rPr>
              <w:t>信息内容</w:t>
            </w:r>
          </w:p>
        </w:tc>
        <w:tc>
          <w:tcPr>
            <w:tcW w:w="187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ascii="Calibri" w:hAnsi="Calibri" w:eastAsia="宋体" w:cs="Times New Roman"/>
                <w:color w:val="auto"/>
                <w:kern w:val="0"/>
                <w:sz w:val="20"/>
                <w:szCs w:val="20"/>
              </w:rPr>
              <w:t>制作数量</w:t>
            </w:r>
          </w:p>
        </w:tc>
        <w:tc>
          <w:tcPr>
            <w:tcW w:w="1271"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ascii="Calibri" w:hAnsi="Calibri" w:eastAsia="宋体" w:cs="Times New Roman"/>
                <w:color w:val="auto"/>
                <w:kern w:val="0"/>
                <w:sz w:val="20"/>
                <w:szCs w:val="20"/>
              </w:rPr>
              <w:t>公开数量</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ascii="宋体" w:hAnsi="宋体" w:eastAsia="宋体" w:cs="宋体"/>
                <w:color w:val="auto"/>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rPr>
                <w:color w:val="auto"/>
              </w:rPr>
            </w:pPr>
            <w:r>
              <w:rPr>
                <w:rFonts w:hint="eastAsia" w:ascii="宋体" w:hAnsi="宋体" w:eastAsia="宋体" w:cs="宋体"/>
                <w:color w:val="auto"/>
                <w:kern w:val="0"/>
                <w:sz w:val="20"/>
                <w:szCs w:val="20"/>
              </w:rPr>
              <w:t>规章</w:t>
            </w:r>
          </w:p>
        </w:tc>
        <w:tc>
          <w:tcPr>
            <w:tcW w:w="187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color w:val="auto"/>
                <w:lang w:val="en-US" w:eastAsia="zh-CN"/>
              </w:rPr>
            </w:pPr>
            <w:r>
              <w:rPr>
                <w:rFonts w:hint="eastAsia" w:ascii="宋体" w:hAnsi="宋体" w:eastAsia="宋体" w:cs="宋体"/>
                <w:color w:val="auto"/>
                <w:kern w:val="0"/>
                <w:sz w:val="20"/>
                <w:szCs w:val="20"/>
                <w:lang w:val="en-US" w:eastAsia="zh-CN"/>
              </w:rPr>
              <w:t>0</w:t>
            </w:r>
          </w:p>
        </w:tc>
        <w:tc>
          <w:tcPr>
            <w:tcW w:w="127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color w:val="auto"/>
                <w:lang w:val="en-US" w:eastAsia="zh-CN"/>
              </w:rPr>
            </w:pPr>
            <w:r>
              <w:rPr>
                <w:rFonts w:hint="eastAsia" w:ascii="宋体" w:hAnsi="宋体" w:eastAsia="宋体" w:cs="宋体"/>
                <w:color w:val="auto"/>
                <w:kern w:val="0"/>
                <w:sz w:val="20"/>
                <w:szCs w:val="20"/>
                <w:lang w:val="en-US" w:eastAsia="zh-CN"/>
              </w:rPr>
              <w:t>0</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color w:val="auto"/>
                <w:lang w:val="en-US" w:eastAsia="zh-CN"/>
              </w:rPr>
            </w:pPr>
            <w:r>
              <w:rPr>
                <w:rFonts w:hint="eastAsia" w:ascii="宋体" w:hAnsi="宋体" w:eastAsia="宋体" w:cs="宋体"/>
                <w:color w:val="auto"/>
                <w:kern w:val="0"/>
                <w:sz w:val="20"/>
                <w:szCs w:val="20"/>
                <w:lang w:val="en-US" w:eastAsia="zh-CN"/>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rPr>
                <w:color w:val="auto"/>
              </w:rPr>
            </w:pPr>
            <w:r>
              <w:rPr>
                <w:rFonts w:hint="eastAsia" w:ascii="宋体" w:hAnsi="宋体" w:eastAsia="宋体" w:cs="宋体"/>
                <w:color w:val="auto"/>
                <w:kern w:val="0"/>
                <w:sz w:val="20"/>
                <w:szCs w:val="20"/>
              </w:rPr>
              <w:t>规范性文件</w:t>
            </w:r>
          </w:p>
        </w:tc>
        <w:tc>
          <w:tcPr>
            <w:tcW w:w="187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color w:val="auto"/>
                <w:lang w:val="en-US" w:eastAsia="zh-CN"/>
              </w:rPr>
            </w:pPr>
            <w:r>
              <w:rPr>
                <w:rFonts w:hint="eastAsia" w:ascii="宋体" w:hAnsi="宋体" w:eastAsia="宋体" w:cs="宋体"/>
                <w:color w:val="auto"/>
                <w:kern w:val="0"/>
                <w:sz w:val="20"/>
                <w:szCs w:val="20"/>
                <w:lang w:val="en-US" w:eastAsia="zh-CN"/>
              </w:rPr>
              <w:t>0</w:t>
            </w:r>
          </w:p>
        </w:tc>
        <w:tc>
          <w:tcPr>
            <w:tcW w:w="127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color w:val="auto"/>
                <w:lang w:val="en-US" w:eastAsia="zh-CN"/>
              </w:rPr>
            </w:pPr>
            <w:r>
              <w:rPr>
                <w:rFonts w:hint="eastAsia" w:ascii="宋体" w:hAnsi="宋体" w:eastAsia="宋体" w:cs="宋体"/>
                <w:color w:val="auto"/>
                <w:kern w:val="0"/>
                <w:sz w:val="20"/>
                <w:szCs w:val="20"/>
                <w:lang w:val="en-US" w:eastAsia="zh-CN"/>
              </w:rPr>
              <w:t>0</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color w:val="auto"/>
                <w:lang w:val="en-US" w:eastAsia="zh-CN"/>
              </w:rPr>
            </w:pPr>
            <w:r>
              <w:rPr>
                <w:rFonts w:hint="eastAsia" w:ascii="宋体" w:hAnsi="宋体" w:eastAsia="宋体" w:cs="宋体"/>
                <w:color w:val="auto"/>
                <w:kern w:val="0"/>
                <w:sz w:val="20"/>
                <w:szCs w:val="20"/>
                <w:lang w:val="en-US" w:eastAsia="zh-CN"/>
              </w:rPr>
              <w:t>0</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val="0"/>
            <w:tcMar>
              <w:left w:w="108" w:type="dxa"/>
              <w:right w:w="108" w:type="dxa"/>
            </w:tcMar>
            <w:vAlign w:val="center"/>
          </w:tcPr>
          <w:p>
            <w:pPr>
              <w:widowControl/>
              <w:spacing w:after="180"/>
              <w:jc w:val="center"/>
              <w:rPr>
                <w:color w:val="auto"/>
              </w:rPr>
            </w:pPr>
            <w:r>
              <w:rPr>
                <w:rFonts w:hint="eastAsia" w:ascii="宋体" w:hAnsi="宋体" w:eastAsia="宋体" w:cs="宋体"/>
                <w:color w:val="auto"/>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ascii="宋体" w:hAnsi="宋体" w:eastAsia="宋体" w:cs="宋体"/>
                <w:color w:val="auto"/>
                <w:kern w:val="0"/>
                <w:sz w:val="20"/>
                <w:szCs w:val="20"/>
              </w:rPr>
              <w:t>信息内容</w:t>
            </w:r>
          </w:p>
        </w:tc>
        <w:tc>
          <w:tcPr>
            <w:tcW w:w="187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ascii="宋体" w:hAnsi="宋体" w:eastAsia="宋体" w:cs="宋体"/>
                <w:color w:val="auto"/>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ascii="宋体" w:hAnsi="宋体" w:eastAsia="宋体" w:cs="宋体"/>
                <w:color w:val="auto"/>
                <w:kern w:val="0"/>
                <w:sz w:val="20"/>
                <w:szCs w:val="20"/>
              </w:rPr>
              <w:t>本年增/减</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ascii="宋体" w:hAnsi="宋体" w:eastAsia="宋体" w:cs="宋体"/>
                <w:color w:val="auto"/>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rPr>
                <w:color w:val="auto"/>
              </w:rPr>
            </w:pPr>
            <w:r>
              <w:rPr>
                <w:rFonts w:hint="eastAsia" w:ascii="宋体" w:hAnsi="宋体" w:eastAsia="宋体" w:cs="宋体"/>
                <w:color w:val="auto"/>
                <w:kern w:val="0"/>
                <w:sz w:val="20"/>
                <w:szCs w:val="20"/>
              </w:rPr>
              <w:t>行政许可</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eastAsia="宋体"/>
                <w:color w:val="auto"/>
                <w:lang w:val="en-US" w:eastAsia="zh-CN"/>
              </w:rPr>
            </w:pPr>
            <w:r>
              <w:rPr>
                <w:rFonts w:hint="eastAsia" w:ascii="宋体" w:hAnsi="宋体" w:eastAsia="宋体" w:cs="宋体"/>
                <w:color w:val="auto"/>
                <w:kern w:val="0"/>
                <w:sz w:val="20"/>
                <w:szCs w:val="20"/>
                <w:lang w:val="en-US" w:eastAsia="zh-CN"/>
              </w:rPr>
              <w:t>0</w:t>
            </w:r>
          </w:p>
        </w:tc>
        <w:tc>
          <w:tcPr>
            <w:tcW w:w="126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eastAsia="宋体"/>
                <w:color w:val="auto"/>
                <w:lang w:val="en-US" w:eastAsia="zh-CN"/>
              </w:rPr>
            </w:pPr>
            <w:r>
              <w:rPr>
                <w:rFonts w:hint="eastAsia" w:ascii="宋体" w:hAnsi="宋体" w:eastAsia="宋体" w:cs="宋体"/>
                <w:color w:val="auto"/>
                <w:kern w:val="0"/>
                <w:sz w:val="20"/>
                <w:szCs w:val="20"/>
                <w:lang w:val="en-US" w:eastAsia="zh-CN"/>
              </w:rPr>
              <w:t>11</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eastAsia="宋体"/>
                <w:color w:val="auto"/>
                <w:lang w:val="en-US" w:eastAsia="zh-CN"/>
              </w:rPr>
            </w:pPr>
            <w:r>
              <w:rPr>
                <w:rFonts w:hint="eastAsia" w:ascii="宋体" w:hAnsi="宋体" w:eastAsia="宋体" w:cs="宋体"/>
                <w:color w:val="auto"/>
                <w:kern w:val="0"/>
                <w:sz w:val="20"/>
                <w:szCs w:val="20"/>
                <w:lang w:val="en-US" w:eastAsia="zh-CN"/>
              </w:rPr>
              <w:t>207</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rPr>
                <w:color w:val="auto"/>
              </w:rPr>
            </w:pPr>
            <w:r>
              <w:rPr>
                <w:rFonts w:hint="eastAsia" w:ascii="宋体" w:hAnsi="宋体" w:eastAsia="宋体" w:cs="宋体"/>
                <w:color w:val="auto"/>
                <w:kern w:val="0"/>
                <w:sz w:val="20"/>
                <w:szCs w:val="20"/>
              </w:rPr>
              <w:t>其他对外管理服务事项</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color w:val="auto"/>
                <w:lang w:val="en-US" w:eastAsia="zh-CN"/>
              </w:rPr>
            </w:pPr>
            <w:r>
              <w:rPr>
                <w:rFonts w:hint="eastAsia" w:ascii="宋体" w:hAnsi="宋体" w:eastAsia="宋体" w:cs="宋体"/>
                <w:color w:val="auto"/>
                <w:kern w:val="0"/>
                <w:sz w:val="20"/>
                <w:szCs w:val="20"/>
                <w:lang w:val="en-US" w:eastAsia="zh-CN"/>
              </w:rPr>
              <w:t>0</w:t>
            </w:r>
          </w:p>
        </w:tc>
        <w:tc>
          <w:tcPr>
            <w:tcW w:w="126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color w:val="auto"/>
                <w:lang w:val="en-US" w:eastAsia="zh-CN"/>
              </w:rPr>
            </w:pPr>
            <w:r>
              <w:rPr>
                <w:rFonts w:hint="eastAsia" w:ascii="宋体" w:hAnsi="宋体" w:eastAsia="宋体" w:cs="宋体"/>
                <w:color w:val="auto"/>
                <w:kern w:val="0"/>
                <w:sz w:val="20"/>
                <w:szCs w:val="20"/>
                <w:lang w:val="en-US" w:eastAsia="zh-CN"/>
              </w:rPr>
              <w:t>0</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color w:val="auto"/>
                <w:lang w:val="en-US" w:eastAsia="zh-CN"/>
              </w:rPr>
            </w:pPr>
            <w:r>
              <w:rPr>
                <w:rFonts w:hint="eastAsia" w:ascii="宋体" w:hAnsi="宋体" w:eastAsia="宋体" w:cs="宋体"/>
                <w:color w:val="auto"/>
                <w:kern w:val="0"/>
                <w:sz w:val="20"/>
                <w:szCs w:val="20"/>
                <w:lang w:val="en-US" w:eastAsia="zh-CN"/>
              </w:rPr>
              <w:t>0</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val="0"/>
            <w:tcMar>
              <w:left w:w="108" w:type="dxa"/>
              <w:right w:w="108" w:type="dxa"/>
            </w:tcMar>
            <w:vAlign w:val="center"/>
          </w:tcPr>
          <w:p>
            <w:pPr>
              <w:widowControl/>
              <w:spacing w:after="180"/>
              <w:jc w:val="center"/>
              <w:rPr>
                <w:color w:val="auto"/>
              </w:rPr>
            </w:pPr>
            <w:r>
              <w:rPr>
                <w:rFonts w:hint="eastAsia" w:ascii="宋体" w:hAnsi="宋体" w:eastAsia="宋体" w:cs="宋体"/>
                <w:color w:val="auto"/>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ascii="宋体" w:hAnsi="宋体" w:eastAsia="宋体" w:cs="宋体"/>
                <w:color w:val="auto"/>
                <w:kern w:val="0"/>
                <w:sz w:val="20"/>
                <w:szCs w:val="20"/>
              </w:rPr>
              <w:t>信息内容</w:t>
            </w:r>
          </w:p>
        </w:tc>
        <w:tc>
          <w:tcPr>
            <w:tcW w:w="187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ascii="宋体" w:hAnsi="宋体" w:eastAsia="宋体" w:cs="宋体"/>
                <w:color w:val="auto"/>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ascii="宋体" w:hAnsi="宋体" w:eastAsia="宋体" w:cs="宋体"/>
                <w:color w:val="auto"/>
                <w:kern w:val="0"/>
                <w:sz w:val="20"/>
                <w:szCs w:val="20"/>
              </w:rPr>
              <w:t>本年增/减</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ascii="宋体" w:hAnsi="宋体" w:eastAsia="宋体" w:cs="宋体"/>
                <w:color w:val="auto"/>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rPr>
                <w:color w:val="auto"/>
              </w:rPr>
            </w:pPr>
            <w:r>
              <w:rPr>
                <w:rFonts w:hint="eastAsia" w:ascii="宋体" w:hAnsi="宋体" w:eastAsia="宋体" w:cs="宋体"/>
                <w:color w:val="auto"/>
                <w:kern w:val="0"/>
                <w:sz w:val="20"/>
                <w:szCs w:val="20"/>
              </w:rPr>
              <w:t>行政处罚</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color w:val="auto"/>
                <w:lang w:val="en-US" w:eastAsia="zh-CN"/>
              </w:rPr>
            </w:pPr>
            <w:r>
              <w:rPr>
                <w:rFonts w:hint="eastAsia" w:ascii="宋体" w:hAnsi="宋体" w:eastAsia="宋体" w:cs="宋体"/>
                <w:color w:val="auto"/>
                <w:kern w:val="0"/>
                <w:sz w:val="20"/>
                <w:szCs w:val="20"/>
                <w:lang w:val="en-US" w:eastAsia="zh-CN"/>
              </w:rPr>
              <w:t>0</w:t>
            </w:r>
          </w:p>
        </w:tc>
        <w:tc>
          <w:tcPr>
            <w:tcW w:w="126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color w:val="auto"/>
                <w:lang w:val="en-US" w:eastAsia="zh-CN"/>
              </w:rPr>
            </w:pPr>
            <w:bookmarkStart w:id="0" w:name="_GoBack"/>
            <w:bookmarkEnd w:id="0"/>
            <w:r>
              <w:rPr>
                <w:rFonts w:hint="eastAsia" w:ascii="宋体" w:hAnsi="宋体" w:eastAsia="宋体" w:cs="宋体"/>
                <w:color w:val="auto"/>
                <w:kern w:val="0"/>
                <w:sz w:val="20"/>
                <w:szCs w:val="20"/>
                <w:lang w:val="en-US" w:eastAsia="zh-CN"/>
              </w:rPr>
              <w:t>48487</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color w:val="auto"/>
                <w:lang w:val="en-US" w:eastAsia="zh-CN"/>
              </w:rPr>
            </w:pPr>
            <w:r>
              <w:rPr>
                <w:rFonts w:hint="eastAsia" w:ascii="宋体" w:hAnsi="宋体" w:eastAsia="宋体" w:cs="宋体"/>
                <w:color w:val="auto"/>
                <w:kern w:val="0"/>
                <w:sz w:val="20"/>
                <w:szCs w:val="20"/>
                <w:lang w:val="en-US" w:eastAsia="zh-CN"/>
              </w:rPr>
              <w:t>48487</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rPr>
                <w:color w:val="auto"/>
              </w:rPr>
            </w:pPr>
            <w:r>
              <w:rPr>
                <w:rFonts w:hint="eastAsia" w:ascii="宋体" w:hAnsi="宋体" w:eastAsia="宋体" w:cs="宋体"/>
                <w:color w:val="auto"/>
                <w:kern w:val="0"/>
                <w:sz w:val="20"/>
                <w:szCs w:val="20"/>
              </w:rPr>
              <w:t>行政强制</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color w:val="auto"/>
                <w:lang w:val="en-US" w:eastAsia="zh-CN"/>
              </w:rPr>
            </w:pPr>
            <w:r>
              <w:rPr>
                <w:rFonts w:hint="eastAsia" w:ascii="宋体" w:hAnsi="宋体" w:eastAsia="宋体" w:cs="宋体"/>
                <w:color w:val="auto"/>
                <w:kern w:val="0"/>
                <w:sz w:val="20"/>
                <w:szCs w:val="20"/>
                <w:lang w:val="en-US" w:eastAsia="zh-CN"/>
              </w:rPr>
              <w:t>0</w:t>
            </w:r>
          </w:p>
        </w:tc>
        <w:tc>
          <w:tcPr>
            <w:tcW w:w="126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color w:val="auto"/>
                <w:lang w:val="en-US" w:eastAsia="zh-CN"/>
              </w:rPr>
            </w:pPr>
            <w:r>
              <w:rPr>
                <w:rFonts w:hint="eastAsia" w:ascii="宋体" w:hAnsi="宋体" w:eastAsia="宋体" w:cs="宋体"/>
                <w:color w:val="auto"/>
                <w:kern w:val="0"/>
                <w:sz w:val="20"/>
                <w:szCs w:val="20"/>
                <w:lang w:val="en-US" w:eastAsia="zh-CN"/>
              </w:rPr>
              <w:t>0</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color w:val="auto"/>
                <w:lang w:val="en-US" w:eastAsia="zh-CN"/>
              </w:rPr>
            </w:pPr>
            <w:r>
              <w:rPr>
                <w:rFonts w:hint="eastAsia" w:ascii="宋体" w:hAnsi="宋体" w:eastAsia="宋体" w:cs="宋体"/>
                <w:color w:val="auto"/>
                <w:kern w:val="0"/>
                <w:sz w:val="20"/>
                <w:szCs w:val="20"/>
                <w:lang w:val="en-US" w:eastAsia="zh-CN"/>
              </w:rPr>
              <w:t>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val="0"/>
            <w:tcMar>
              <w:left w:w="108" w:type="dxa"/>
              <w:right w:w="108" w:type="dxa"/>
            </w:tcMar>
            <w:vAlign w:val="center"/>
          </w:tcPr>
          <w:p>
            <w:pPr>
              <w:widowControl/>
              <w:spacing w:after="180"/>
              <w:jc w:val="center"/>
              <w:rPr>
                <w:color w:val="auto"/>
              </w:rPr>
            </w:pPr>
            <w:r>
              <w:rPr>
                <w:rFonts w:hint="eastAsia" w:ascii="宋体" w:hAnsi="宋体" w:eastAsia="宋体" w:cs="宋体"/>
                <w:color w:val="auto"/>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ascii="宋体" w:hAnsi="宋体" w:eastAsia="宋体" w:cs="宋体"/>
                <w:color w:val="auto"/>
                <w:kern w:val="0"/>
                <w:sz w:val="20"/>
                <w:szCs w:val="20"/>
              </w:rPr>
              <w:t>信息内容</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rPr>
                <w:color w:val="auto"/>
              </w:rPr>
            </w:pPr>
            <w:r>
              <w:rPr>
                <w:rFonts w:hint="eastAsia" w:ascii="宋体" w:hAnsi="宋体" w:eastAsia="宋体" w:cs="宋体"/>
                <w:color w:val="auto"/>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noWrap w:val="0"/>
            <w:tcMar>
              <w:left w:w="108" w:type="dxa"/>
              <w:right w:w="108" w:type="dxa"/>
            </w:tcMar>
            <w:vAlign w:val="center"/>
          </w:tcPr>
          <w:p>
            <w:pPr>
              <w:widowControl/>
              <w:spacing w:after="180"/>
              <w:jc w:val="center"/>
              <w:rPr>
                <w:color w:val="auto"/>
              </w:rPr>
            </w:pPr>
            <w:r>
              <w:rPr>
                <w:rFonts w:hint="eastAsia" w:ascii="宋体" w:hAnsi="宋体" w:eastAsia="宋体" w:cs="宋体"/>
                <w:color w:val="auto"/>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rPr>
                <w:color w:val="auto"/>
              </w:rPr>
            </w:pPr>
            <w:r>
              <w:rPr>
                <w:rFonts w:hint="eastAsia" w:ascii="宋体" w:hAnsi="宋体" w:eastAsia="宋体" w:cs="宋体"/>
                <w:color w:val="auto"/>
                <w:kern w:val="0"/>
                <w:sz w:val="20"/>
                <w:szCs w:val="20"/>
              </w:rPr>
              <w:t>行政事业性收费</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color w:val="auto"/>
                <w:lang w:val="en-US" w:eastAsia="zh-CN"/>
              </w:rPr>
            </w:pPr>
            <w:r>
              <w:rPr>
                <w:rFonts w:hint="eastAsia" w:ascii="宋体" w:hAnsi="宋体" w:eastAsia="宋体" w:cs="宋体"/>
                <w:color w:val="auto"/>
                <w:kern w:val="0"/>
                <w:sz w:val="20"/>
                <w:szCs w:val="20"/>
                <w:lang w:val="en-US" w:eastAsia="zh-CN"/>
              </w:rPr>
              <w:t>0</w:t>
            </w:r>
          </w:p>
        </w:tc>
        <w:tc>
          <w:tcPr>
            <w:tcW w:w="3146" w:type="dxa"/>
            <w:gridSpan w:val="2"/>
            <w:tcBorders>
              <w:top w:val="nil"/>
              <w:left w:val="nil"/>
              <w:bottom w:val="single" w:color="auto" w:sz="8" w:space="0"/>
              <w:right w:val="single" w:color="000000" w:sz="8" w:space="0"/>
            </w:tcBorders>
            <w:noWrap w:val="0"/>
            <w:tcMar>
              <w:left w:w="108" w:type="dxa"/>
              <w:right w:w="108" w:type="dxa"/>
            </w:tcMar>
            <w:vAlign w:val="center"/>
          </w:tcPr>
          <w:p>
            <w:pPr>
              <w:widowControl/>
              <w:spacing w:after="180"/>
              <w:jc w:val="center"/>
              <w:rPr>
                <w:rFonts w:hint="eastAsia" w:eastAsia="宋体"/>
                <w:color w:val="auto"/>
                <w:lang w:val="en-US" w:eastAsia="zh-CN"/>
              </w:rPr>
            </w:pPr>
            <w:r>
              <w:rPr>
                <w:rFonts w:hint="eastAsia" w:ascii="宋体" w:hAnsi="宋体" w:eastAsia="宋体" w:cs="宋体"/>
                <w:color w:val="auto"/>
                <w:kern w:val="0"/>
                <w:sz w:val="20"/>
                <w:szCs w:val="20"/>
              </w:rPr>
              <w:t> </w:t>
            </w:r>
            <w:r>
              <w:rPr>
                <w:rFonts w:hint="eastAsia" w:ascii="宋体" w:hAnsi="宋体" w:eastAsia="宋体" w:cs="宋体"/>
                <w:color w:val="auto"/>
                <w:kern w:val="0"/>
                <w:sz w:val="20"/>
                <w:szCs w:val="20"/>
                <w:lang w:val="en-US" w:eastAsia="zh-CN"/>
              </w:rPr>
              <w:t>0</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val="0"/>
            <w:tcMar>
              <w:left w:w="108" w:type="dxa"/>
              <w:right w:w="108" w:type="dxa"/>
            </w:tcMar>
            <w:vAlign w:val="center"/>
          </w:tcPr>
          <w:p>
            <w:pPr>
              <w:widowControl/>
              <w:spacing w:after="180"/>
              <w:jc w:val="center"/>
              <w:rPr>
                <w:color w:val="auto"/>
              </w:rPr>
            </w:pPr>
            <w:r>
              <w:rPr>
                <w:rFonts w:hint="eastAsia" w:ascii="宋体" w:hAnsi="宋体" w:eastAsia="宋体" w:cs="宋体"/>
                <w:color w:val="auto"/>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ascii="宋体" w:hAnsi="宋体" w:eastAsia="宋体" w:cs="宋体"/>
                <w:color w:val="auto"/>
                <w:kern w:val="0"/>
                <w:sz w:val="20"/>
                <w:szCs w:val="20"/>
              </w:rPr>
              <w:t>信息内容</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ascii="宋体" w:hAnsi="宋体" w:eastAsia="宋体" w:cs="宋体"/>
                <w:color w:val="auto"/>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noWrap w:val="0"/>
            <w:tcMar>
              <w:left w:w="108" w:type="dxa"/>
              <w:right w:w="108" w:type="dxa"/>
            </w:tcMar>
            <w:vAlign w:val="center"/>
          </w:tcPr>
          <w:p>
            <w:pPr>
              <w:widowControl/>
              <w:spacing w:after="180"/>
              <w:jc w:val="center"/>
              <w:rPr>
                <w:color w:val="auto"/>
              </w:rPr>
            </w:pPr>
            <w:r>
              <w:rPr>
                <w:rFonts w:hint="eastAsia" w:ascii="宋体" w:hAnsi="宋体" w:eastAsia="宋体" w:cs="宋体"/>
                <w:color w:val="auto"/>
                <w:kern w:val="0"/>
                <w:sz w:val="20"/>
                <w:szCs w:val="20"/>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lef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政府集中采购</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7</w:t>
            </w:r>
          </w:p>
        </w:tc>
        <w:tc>
          <w:tcPr>
            <w:tcW w:w="3146" w:type="dxa"/>
            <w:gridSpan w:val="2"/>
            <w:tcBorders>
              <w:top w:val="nil"/>
              <w:left w:val="nil"/>
              <w:bottom w:val="single" w:color="auto" w:sz="8" w:space="0"/>
              <w:right w:val="single" w:color="000000" w:sz="8" w:space="0"/>
            </w:tcBorders>
            <w:noWrap w:val="0"/>
            <w:tcMar>
              <w:left w:w="108" w:type="dxa"/>
              <w:right w:w="108" w:type="dxa"/>
            </w:tcMar>
            <w:vAlign w:val="center"/>
          </w:tcPr>
          <w:p>
            <w:pPr>
              <w:jc w:val="center"/>
              <w:rPr>
                <w:rFonts w:ascii="宋体"/>
                <w:color w:val="auto"/>
                <w:sz w:val="24"/>
                <w:szCs w:val="24"/>
              </w:rPr>
            </w:pPr>
            <w:r>
              <w:rPr>
                <w:rFonts w:hint="eastAsia" w:ascii="宋体" w:hAnsi="宋体" w:eastAsia="宋体" w:cs="宋体"/>
                <w:color w:val="auto"/>
                <w:kern w:val="0"/>
                <w:sz w:val="20"/>
                <w:szCs w:val="20"/>
                <w:lang w:val="en-US" w:eastAsia="zh-CN"/>
              </w:rPr>
              <w:t>1452.74万元</w:t>
            </w:r>
          </w:p>
        </w:tc>
      </w:tr>
    </w:tbl>
    <w:p>
      <w:pPr>
        <w:pStyle w:val="5"/>
        <w:shd w:val="clear" w:color="auto" w:fill="FFFFFF"/>
        <w:spacing w:before="0" w:beforeAutospacing="0" w:after="0" w:afterAutospacing="0"/>
        <w:ind w:firstLine="420"/>
        <w:jc w:val="both"/>
        <w:rPr>
          <w:rFonts w:hint="eastAsia" w:ascii="黑体" w:hAnsi="黑体" w:eastAsia="黑体" w:cs="黑体"/>
          <w:b w:val="0"/>
          <w:bCs/>
          <w:color w:val="auto"/>
          <w:sz w:val="30"/>
          <w:szCs w:val="30"/>
          <w:shd w:val="clear" w:color="auto" w:fill="FFFFFF"/>
        </w:rPr>
      </w:pPr>
      <w:r>
        <w:rPr>
          <w:rFonts w:hint="eastAsia" w:ascii="黑体" w:hAnsi="黑体" w:eastAsia="黑体" w:cs="黑体"/>
          <w:b w:val="0"/>
          <w:bCs/>
          <w:color w:val="auto"/>
          <w:sz w:val="30"/>
          <w:szCs w:val="30"/>
          <w:shd w:val="clear" w:color="auto" w:fill="FFFFFF"/>
        </w:rPr>
        <w:t>三、收到和处理政府信息公开申请情况</w:t>
      </w:r>
    </w:p>
    <w:tbl>
      <w:tblPr>
        <w:tblStyle w:val="6"/>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8"/>
        <w:gridCol w:w="734"/>
        <w:gridCol w:w="2275"/>
        <w:gridCol w:w="749"/>
        <w:gridCol w:w="756"/>
        <w:gridCol w:w="756"/>
        <w:gridCol w:w="815"/>
        <w:gridCol w:w="976"/>
        <w:gridCol w:w="713"/>
        <w:gridCol w:w="67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exact"/>
          <w:jc w:val="center"/>
        </w:trPr>
        <w:tc>
          <w:tcPr>
            <w:tcW w:w="3627" w:type="dxa"/>
            <w:gridSpan w:val="3"/>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both"/>
              <w:rPr>
                <w:color w:val="auto"/>
              </w:rPr>
            </w:pPr>
            <w:r>
              <w:rPr>
                <w:rFonts w:hint="eastAsia" w:ascii="宋体" w:hAnsi="宋体" w:eastAsia="宋体" w:cs="宋体"/>
                <w:color w:val="auto"/>
                <w:kern w:val="0"/>
                <w:sz w:val="20"/>
                <w:szCs w:val="20"/>
              </w:rPr>
              <w:t>（本列数据的勾稽关系为：第一项加第二项之和，等于第三项加第四项之和）</w:t>
            </w:r>
          </w:p>
        </w:tc>
        <w:tc>
          <w:tcPr>
            <w:tcW w:w="5444" w:type="dxa"/>
            <w:gridSpan w:val="7"/>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both"/>
              <w:rPr>
                <w:color w:val="auto"/>
              </w:rPr>
            </w:pPr>
            <w:r>
              <w:rPr>
                <w:rFonts w:hint="eastAsia" w:ascii="宋体" w:hAnsi="宋体" w:eastAsia="宋体" w:cs="宋体"/>
                <w:color w:val="auto"/>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exact"/>
          <w:jc w:val="center"/>
        </w:trPr>
        <w:tc>
          <w:tcPr>
            <w:tcW w:w="3627"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jc w:val="both"/>
              <w:rPr>
                <w:rFonts w:ascii="宋体"/>
                <w:color w:val="auto"/>
                <w:sz w:val="24"/>
                <w:szCs w:val="24"/>
              </w:rPr>
            </w:pPr>
          </w:p>
        </w:tc>
        <w:tc>
          <w:tcPr>
            <w:tcW w:w="749"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both"/>
              <w:rPr>
                <w:color w:val="auto"/>
              </w:rPr>
            </w:pPr>
            <w:r>
              <w:rPr>
                <w:rFonts w:hint="eastAsia" w:ascii="宋体" w:hAnsi="宋体" w:eastAsia="宋体" w:cs="宋体"/>
                <w:color w:val="auto"/>
                <w:kern w:val="0"/>
                <w:sz w:val="20"/>
                <w:szCs w:val="20"/>
              </w:rPr>
              <w:t>自然人</w:t>
            </w:r>
          </w:p>
        </w:tc>
        <w:tc>
          <w:tcPr>
            <w:tcW w:w="4016"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both"/>
              <w:rPr>
                <w:color w:val="auto"/>
              </w:rPr>
            </w:pPr>
            <w:r>
              <w:rPr>
                <w:rFonts w:hint="eastAsia" w:ascii="宋体" w:hAnsi="宋体" w:eastAsia="宋体" w:cs="宋体"/>
                <w:color w:val="auto"/>
                <w:kern w:val="0"/>
                <w:sz w:val="20"/>
                <w:szCs w:val="20"/>
              </w:rPr>
              <w:t>法人或其他组织</w:t>
            </w:r>
          </w:p>
        </w:tc>
        <w:tc>
          <w:tcPr>
            <w:tcW w:w="679"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both"/>
              <w:rPr>
                <w:color w:val="auto"/>
              </w:rPr>
            </w:pPr>
            <w:r>
              <w:rPr>
                <w:rFonts w:hint="eastAsia" w:ascii="宋体" w:hAnsi="宋体" w:eastAsia="宋体" w:cs="宋体"/>
                <w:color w:val="auto"/>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80" w:hRule="exact"/>
          <w:jc w:val="center"/>
        </w:trPr>
        <w:tc>
          <w:tcPr>
            <w:tcW w:w="3627"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jc w:val="both"/>
              <w:rPr>
                <w:rFonts w:ascii="宋体"/>
                <w:color w:val="auto"/>
                <w:sz w:val="24"/>
                <w:szCs w:val="24"/>
              </w:rPr>
            </w:pPr>
          </w:p>
        </w:tc>
        <w:tc>
          <w:tcPr>
            <w:tcW w:w="749" w:type="dxa"/>
            <w:vMerge w:val="continue"/>
            <w:tcBorders>
              <w:top w:val="nil"/>
              <w:left w:val="nil"/>
              <w:bottom w:val="single" w:color="auto" w:sz="8" w:space="0"/>
              <w:right w:val="single" w:color="auto" w:sz="8" w:space="0"/>
            </w:tcBorders>
            <w:noWrap w:val="0"/>
            <w:tcMar>
              <w:left w:w="108" w:type="dxa"/>
              <w:right w:w="108" w:type="dxa"/>
            </w:tcMar>
            <w:vAlign w:val="center"/>
          </w:tcPr>
          <w:p>
            <w:pPr>
              <w:jc w:val="both"/>
              <w:rPr>
                <w:rFonts w:ascii="宋体"/>
                <w:color w:val="auto"/>
                <w:sz w:val="24"/>
                <w:szCs w:val="24"/>
              </w:rPr>
            </w:pPr>
          </w:p>
        </w:tc>
        <w:tc>
          <w:tcPr>
            <w:tcW w:w="75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both"/>
              <w:rPr>
                <w:color w:val="auto"/>
              </w:rPr>
            </w:pPr>
            <w:r>
              <w:rPr>
                <w:rFonts w:hint="eastAsia" w:ascii="宋体" w:hAnsi="宋体" w:eastAsia="宋体" w:cs="宋体"/>
                <w:color w:val="auto"/>
                <w:kern w:val="0"/>
                <w:sz w:val="20"/>
                <w:szCs w:val="20"/>
              </w:rPr>
              <w:t>商业企业</w:t>
            </w:r>
          </w:p>
        </w:tc>
        <w:tc>
          <w:tcPr>
            <w:tcW w:w="75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both"/>
              <w:rPr>
                <w:color w:val="auto"/>
              </w:rPr>
            </w:pPr>
            <w:r>
              <w:rPr>
                <w:rFonts w:hint="eastAsia" w:ascii="宋体" w:hAnsi="宋体" w:eastAsia="宋体" w:cs="宋体"/>
                <w:color w:val="auto"/>
                <w:kern w:val="0"/>
                <w:sz w:val="20"/>
                <w:szCs w:val="20"/>
              </w:rPr>
              <w:t>科研机构</w:t>
            </w:r>
          </w:p>
        </w:tc>
        <w:tc>
          <w:tcPr>
            <w:tcW w:w="81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both"/>
              <w:rPr>
                <w:color w:val="auto"/>
              </w:rPr>
            </w:pPr>
            <w:r>
              <w:rPr>
                <w:rFonts w:hint="eastAsia" w:ascii="宋体" w:hAnsi="宋体" w:eastAsia="宋体" w:cs="宋体"/>
                <w:color w:val="auto"/>
                <w:kern w:val="0"/>
                <w:sz w:val="20"/>
                <w:szCs w:val="20"/>
              </w:rPr>
              <w:t>社会公益组织</w:t>
            </w:r>
          </w:p>
        </w:tc>
        <w:tc>
          <w:tcPr>
            <w:tcW w:w="976"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both"/>
              <w:rPr>
                <w:color w:val="auto"/>
              </w:rPr>
            </w:pPr>
            <w:r>
              <w:rPr>
                <w:rFonts w:hint="eastAsia" w:ascii="宋体" w:hAnsi="宋体" w:eastAsia="宋体" w:cs="宋体"/>
                <w:color w:val="auto"/>
                <w:kern w:val="0"/>
                <w:sz w:val="20"/>
                <w:szCs w:val="20"/>
              </w:rPr>
              <w:t>法律服务机构</w:t>
            </w:r>
          </w:p>
        </w:tc>
        <w:tc>
          <w:tcPr>
            <w:tcW w:w="713"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both"/>
              <w:rPr>
                <w:color w:val="auto"/>
              </w:rPr>
            </w:pPr>
            <w:r>
              <w:rPr>
                <w:rFonts w:hint="eastAsia" w:ascii="宋体" w:hAnsi="宋体" w:eastAsia="宋体" w:cs="宋体"/>
                <w:color w:val="auto"/>
                <w:kern w:val="0"/>
                <w:sz w:val="20"/>
                <w:szCs w:val="20"/>
              </w:rPr>
              <w:t>其他</w:t>
            </w:r>
          </w:p>
        </w:tc>
        <w:tc>
          <w:tcPr>
            <w:tcW w:w="679"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jc w:val="both"/>
              <w:rPr>
                <w:rFonts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3627" w:type="dxa"/>
            <w:gridSpan w:val="3"/>
            <w:tcBorders>
              <w:top w:val="nil"/>
              <w:left w:val="single" w:color="auto" w:sz="8" w:space="0"/>
              <w:bottom w:val="single" w:color="auto" w:sz="4" w:space="0"/>
              <w:right w:val="single" w:color="auto" w:sz="8" w:space="0"/>
            </w:tcBorders>
            <w:noWrap w:val="0"/>
            <w:tcMar>
              <w:left w:w="108" w:type="dxa"/>
              <w:right w:w="108" w:type="dxa"/>
            </w:tcMar>
            <w:vAlign w:val="center"/>
          </w:tcPr>
          <w:p>
            <w:pPr>
              <w:widowControl/>
              <w:spacing w:after="180"/>
              <w:jc w:val="center"/>
              <w:rPr>
                <w:color w:val="auto"/>
              </w:rPr>
            </w:pPr>
            <w:r>
              <w:rPr>
                <w:rFonts w:hint="eastAsia" w:ascii="宋体" w:hAnsi="宋体" w:eastAsia="宋体" w:cs="宋体"/>
                <w:color w:val="auto"/>
                <w:kern w:val="0"/>
                <w:sz w:val="20"/>
                <w:szCs w:val="20"/>
              </w:rPr>
              <w:t>一、本年新收政府信息公开申请数量</w:t>
            </w:r>
          </w:p>
        </w:tc>
        <w:tc>
          <w:tcPr>
            <w:tcW w:w="749" w:type="dxa"/>
            <w:tcBorders>
              <w:top w:val="nil"/>
              <w:left w:val="nil"/>
              <w:bottom w:val="single" w:color="auto" w:sz="4"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等线" w:cs="Times New Roman"/>
                <w:color w:val="auto"/>
                <w:sz w:val="24"/>
                <w:szCs w:val="24"/>
                <w:lang w:val="en-US" w:eastAsia="zh-CN"/>
              </w:rPr>
            </w:pPr>
            <w:r>
              <w:rPr>
                <w:rFonts w:hint="default" w:ascii="Times New Roman" w:hAnsi="Times New Roman" w:cs="Times New Roman"/>
                <w:color w:val="auto"/>
                <w:sz w:val="24"/>
                <w:szCs w:val="24"/>
                <w:lang w:val="en-US" w:eastAsia="zh-CN"/>
              </w:rPr>
              <w:t>23</w:t>
            </w:r>
          </w:p>
        </w:tc>
        <w:tc>
          <w:tcPr>
            <w:tcW w:w="756" w:type="dxa"/>
            <w:tcBorders>
              <w:top w:val="nil"/>
              <w:left w:val="nil"/>
              <w:bottom w:val="single" w:color="auto" w:sz="4"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cs="Times New Roman"/>
                <w:color w:val="auto"/>
                <w:sz w:val="24"/>
                <w:szCs w:val="24"/>
              </w:rPr>
            </w:pPr>
          </w:p>
        </w:tc>
        <w:tc>
          <w:tcPr>
            <w:tcW w:w="756" w:type="dxa"/>
            <w:tcBorders>
              <w:top w:val="nil"/>
              <w:left w:val="nil"/>
              <w:bottom w:val="single" w:color="auto" w:sz="4"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cs="Times New Roman"/>
                <w:color w:val="auto"/>
                <w:sz w:val="24"/>
                <w:szCs w:val="24"/>
              </w:rPr>
            </w:pPr>
          </w:p>
        </w:tc>
        <w:tc>
          <w:tcPr>
            <w:tcW w:w="815" w:type="dxa"/>
            <w:tcBorders>
              <w:top w:val="nil"/>
              <w:left w:val="nil"/>
              <w:bottom w:val="single" w:color="auto" w:sz="4"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cs="Times New Roman"/>
                <w:color w:val="auto"/>
                <w:sz w:val="24"/>
                <w:szCs w:val="24"/>
              </w:rPr>
            </w:pPr>
          </w:p>
        </w:tc>
        <w:tc>
          <w:tcPr>
            <w:tcW w:w="976" w:type="dxa"/>
            <w:tcBorders>
              <w:top w:val="nil"/>
              <w:left w:val="nil"/>
              <w:bottom w:val="single" w:color="auto" w:sz="4"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cs="Times New Roman"/>
                <w:color w:val="auto"/>
                <w:sz w:val="24"/>
                <w:szCs w:val="24"/>
              </w:rPr>
            </w:pPr>
          </w:p>
        </w:tc>
        <w:tc>
          <w:tcPr>
            <w:tcW w:w="713" w:type="dxa"/>
            <w:tcBorders>
              <w:top w:val="nil"/>
              <w:left w:val="nil"/>
              <w:bottom w:val="single" w:color="auto" w:sz="4"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cs="Times New Roman"/>
                <w:color w:val="auto"/>
                <w:sz w:val="24"/>
                <w:szCs w:val="24"/>
              </w:rPr>
            </w:pPr>
          </w:p>
        </w:tc>
        <w:tc>
          <w:tcPr>
            <w:tcW w:w="679" w:type="dxa"/>
            <w:tcBorders>
              <w:top w:val="nil"/>
              <w:left w:val="nil"/>
              <w:bottom w:val="single" w:color="auto" w:sz="4"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等线" w:cs="Times New Roman"/>
                <w:color w:val="auto"/>
                <w:sz w:val="24"/>
                <w:szCs w:val="24"/>
                <w:lang w:val="en-US" w:eastAsia="zh-CN"/>
              </w:rPr>
            </w:pPr>
            <w:r>
              <w:rPr>
                <w:rFonts w:hint="default" w:ascii="Times New Roman" w:hAnsi="Times New Roman" w:cs="Times New Roman"/>
                <w:color w:val="auto"/>
                <w:sz w:val="24"/>
                <w:szCs w:val="24"/>
                <w:lang w:val="en-US" w:eastAsia="zh-CN"/>
              </w:rPr>
              <w:t>23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07" w:hRule="atLeast"/>
          <w:jc w:val="center"/>
        </w:trPr>
        <w:tc>
          <w:tcPr>
            <w:tcW w:w="3627" w:type="dxa"/>
            <w:gridSpan w:val="3"/>
            <w:tcBorders>
              <w:top w:val="single" w:color="auto" w:sz="4" w:space="0"/>
              <w:left w:val="single" w:color="auto" w:sz="8" w:space="0"/>
              <w:bottom w:val="single" w:color="auto" w:sz="4" w:space="0"/>
              <w:right w:val="single" w:color="auto" w:sz="8" w:space="0"/>
            </w:tcBorders>
            <w:noWrap w:val="0"/>
            <w:tcMar>
              <w:left w:w="108" w:type="dxa"/>
              <w:right w:w="108" w:type="dxa"/>
            </w:tcMar>
            <w:vAlign w:val="center"/>
          </w:tcPr>
          <w:p>
            <w:pPr>
              <w:widowControl/>
              <w:spacing w:after="180"/>
              <w:jc w:val="center"/>
              <w:rPr>
                <w:color w:val="auto"/>
              </w:rPr>
            </w:pPr>
            <w:r>
              <w:rPr>
                <w:rFonts w:hint="eastAsia" w:ascii="宋体" w:hAnsi="宋体" w:eastAsia="宋体" w:cs="宋体"/>
                <w:color w:val="auto"/>
                <w:kern w:val="0"/>
                <w:sz w:val="20"/>
                <w:szCs w:val="20"/>
              </w:rPr>
              <w:t>二、上年结转政府信息公开申请数量</w:t>
            </w:r>
          </w:p>
        </w:tc>
        <w:tc>
          <w:tcPr>
            <w:tcW w:w="749" w:type="dxa"/>
            <w:tcBorders>
              <w:top w:val="single" w:color="auto" w:sz="4" w:space="0"/>
              <w:left w:val="nil"/>
              <w:bottom w:val="single" w:color="auto" w:sz="4"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等线" w:cs="Times New Roman"/>
                <w:color w:val="auto"/>
                <w:sz w:val="24"/>
                <w:szCs w:val="24"/>
                <w:lang w:val="en-US" w:eastAsia="zh-CN"/>
              </w:rPr>
            </w:pPr>
            <w:r>
              <w:rPr>
                <w:rFonts w:hint="default" w:ascii="Times New Roman" w:hAnsi="Times New Roman" w:cs="Times New Roman"/>
                <w:color w:val="auto"/>
                <w:sz w:val="24"/>
                <w:szCs w:val="24"/>
                <w:lang w:val="en-US" w:eastAsia="zh-CN"/>
              </w:rPr>
              <w:t>1</w:t>
            </w:r>
          </w:p>
        </w:tc>
        <w:tc>
          <w:tcPr>
            <w:tcW w:w="756" w:type="dxa"/>
            <w:tcBorders>
              <w:top w:val="single" w:color="auto" w:sz="4" w:space="0"/>
              <w:left w:val="nil"/>
              <w:bottom w:val="single" w:color="auto" w:sz="4"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cs="Times New Roman"/>
                <w:color w:val="auto"/>
                <w:sz w:val="24"/>
                <w:szCs w:val="24"/>
              </w:rPr>
            </w:pPr>
          </w:p>
        </w:tc>
        <w:tc>
          <w:tcPr>
            <w:tcW w:w="756" w:type="dxa"/>
            <w:tcBorders>
              <w:top w:val="single" w:color="auto" w:sz="4" w:space="0"/>
              <w:left w:val="nil"/>
              <w:bottom w:val="single" w:color="auto" w:sz="4"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cs="Times New Roman"/>
                <w:color w:val="auto"/>
                <w:sz w:val="24"/>
                <w:szCs w:val="24"/>
              </w:rPr>
            </w:pPr>
          </w:p>
        </w:tc>
        <w:tc>
          <w:tcPr>
            <w:tcW w:w="815" w:type="dxa"/>
            <w:tcBorders>
              <w:top w:val="single" w:color="auto" w:sz="4" w:space="0"/>
              <w:left w:val="nil"/>
              <w:bottom w:val="single" w:color="auto" w:sz="4"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cs="Times New Roman"/>
                <w:color w:val="auto"/>
                <w:sz w:val="24"/>
                <w:szCs w:val="24"/>
              </w:rPr>
            </w:pPr>
          </w:p>
        </w:tc>
        <w:tc>
          <w:tcPr>
            <w:tcW w:w="976" w:type="dxa"/>
            <w:tcBorders>
              <w:top w:val="single" w:color="auto" w:sz="4" w:space="0"/>
              <w:left w:val="nil"/>
              <w:bottom w:val="single" w:color="auto" w:sz="4"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cs="Times New Roman"/>
                <w:color w:val="auto"/>
                <w:sz w:val="24"/>
                <w:szCs w:val="24"/>
              </w:rPr>
            </w:pPr>
          </w:p>
        </w:tc>
        <w:tc>
          <w:tcPr>
            <w:tcW w:w="713" w:type="dxa"/>
            <w:tcBorders>
              <w:top w:val="single" w:color="auto" w:sz="4" w:space="0"/>
              <w:left w:val="nil"/>
              <w:bottom w:val="single" w:color="auto" w:sz="4"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cs="Times New Roman"/>
                <w:color w:val="auto"/>
                <w:sz w:val="24"/>
                <w:szCs w:val="24"/>
              </w:rPr>
            </w:pPr>
          </w:p>
        </w:tc>
        <w:tc>
          <w:tcPr>
            <w:tcW w:w="679" w:type="dxa"/>
            <w:tcBorders>
              <w:top w:val="single" w:color="auto" w:sz="4" w:space="0"/>
              <w:left w:val="nil"/>
              <w:bottom w:val="single" w:color="auto" w:sz="4"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等线" w:cs="Times New Roman"/>
                <w:color w:val="auto"/>
                <w:sz w:val="24"/>
                <w:szCs w:val="24"/>
                <w:lang w:val="en-US" w:eastAsia="zh-CN"/>
              </w:rPr>
            </w:pPr>
            <w:r>
              <w:rPr>
                <w:rFonts w:hint="default" w:ascii="Times New Roman" w:hAnsi="Times New Roman" w:cs="Times New Roman"/>
                <w:color w:val="auto"/>
                <w:sz w:val="24"/>
                <w:szCs w:val="24"/>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618" w:type="dxa"/>
            <w:vMerge w:val="restart"/>
            <w:tcBorders>
              <w:top w:val="single" w:color="auto" w:sz="4" w:space="0"/>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ascii="宋体" w:hAnsi="宋体" w:eastAsia="宋体" w:cs="宋体"/>
                <w:color w:val="auto"/>
                <w:kern w:val="0"/>
                <w:sz w:val="20"/>
                <w:szCs w:val="20"/>
              </w:rPr>
              <w:t>三、本年度办理结果</w:t>
            </w:r>
          </w:p>
        </w:tc>
        <w:tc>
          <w:tcPr>
            <w:tcW w:w="3009" w:type="dxa"/>
            <w:gridSpan w:val="2"/>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color w:val="auto"/>
              </w:rPr>
            </w:pPr>
            <w:r>
              <w:rPr>
                <w:rFonts w:hint="eastAsia" w:ascii="楷体" w:hAnsi="楷体" w:eastAsia="楷体" w:cs="楷体"/>
                <w:color w:val="auto"/>
                <w:kern w:val="0"/>
                <w:sz w:val="20"/>
                <w:szCs w:val="20"/>
              </w:rPr>
              <w:t>（一）予以公开</w:t>
            </w:r>
          </w:p>
        </w:tc>
        <w:tc>
          <w:tcPr>
            <w:tcW w:w="749" w:type="dxa"/>
            <w:tcBorders>
              <w:top w:val="single" w:color="auto" w:sz="4" w:space="0"/>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9</w:t>
            </w:r>
          </w:p>
        </w:tc>
        <w:tc>
          <w:tcPr>
            <w:tcW w:w="756"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sz w:val="24"/>
                <w:szCs w:val="24"/>
              </w:rPr>
            </w:pPr>
          </w:p>
        </w:tc>
        <w:tc>
          <w:tcPr>
            <w:tcW w:w="756"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sz w:val="24"/>
                <w:szCs w:val="24"/>
              </w:rPr>
            </w:pPr>
          </w:p>
        </w:tc>
        <w:tc>
          <w:tcPr>
            <w:tcW w:w="815"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sz w:val="24"/>
                <w:szCs w:val="24"/>
              </w:rPr>
            </w:pPr>
          </w:p>
        </w:tc>
        <w:tc>
          <w:tcPr>
            <w:tcW w:w="976" w:type="dxa"/>
            <w:tcBorders>
              <w:top w:val="single" w:color="auto" w:sz="4" w:space="0"/>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cs="Times New Roman"/>
                <w:color w:val="auto"/>
                <w:sz w:val="24"/>
                <w:szCs w:val="24"/>
              </w:rPr>
            </w:pPr>
          </w:p>
        </w:tc>
        <w:tc>
          <w:tcPr>
            <w:tcW w:w="713" w:type="dxa"/>
            <w:tcBorders>
              <w:top w:val="single" w:color="auto" w:sz="4" w:space="0"/>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cs="Times New Roman"/>
                <w:color w:val="auto"/>
                <w:sz w:val="24"/>
                <w:szCs w:val="24"/>
              </w:rPr>
            </w:pPr>
          </w:p>
        </w:tc>
        <w:tc>
          <w:tcPr>
            <w:tcW w:w="679" w:type="dxa"/>
            <w:tcBorders>
              <w:top w:val="single" w:color="auto" w:sz="4" w:space="0"/>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kern w:val="0"/>
                <w:sz w:val="24"/>
                <w:szCs w:val="24"/>
                <w:lang w:val="en-US" w:eastAsia="zh-CN"/>
              </w:rPr>
              <w:t>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ascii="宋体"/>
                <w:color w:val="auto"/>
                <w:sz w:val="24"/>
                <w:szCs w:val="24"/>
              </w:rPr>
            </w:pPr>
          </w:p>
        </w:tc>
        <w:tc>
          <w:tcPr>
            <w:tcW w:w="3009"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color w:val="auto"/>
              </w:rPr>
            </w:pPr>
            <w:r>
              <w:rPr>
                <w:rFonts w:hint="eastAsia" w:ascii="楷体" w:hAnsi="楷体" w:eastAsia="楷体" w:cs="楷体"/>
                <w:color w:val="auto"/>
                <w:kern w:val="0"/>
                <w:sz w:val="20"/>
                <w:szCs w:val="20"/>
              </w:rPr>
              <w:t>（二）部分公开（区分处理的，只计这一情形，不计其他情形）</w:t>
            </w:r>
          </w:p>
        </w:tc>
        <w:tc>
          <w:tcPr>
            <w:tcW w:w="74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1</w:t>
            </w:r>
          </w:p>
        </w:tc>
        <w:tc>
          <w:tcPr>
            <w:tcW w:w="7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sz w:val="24"/>
                <w:szCs w:val="24"/>
              </w:rPr>
            </w:pPr>
          </w:p>
        </w:tc>
        <w:tc>
          <w:tcPr>
            <w:tcW w:w="7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sz w:val="24"/>
                <w:szCs w:val="24"/>
              </w:rPr>
            </w:pPr>
          </w:p>
        </w:tc>
        <w:tc>
          <w:tcPr>
            <w:tcW w:w="81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sz w:val="24"/>
                <w:szCs w:val="24"/>
              </w:rPr>
            </w:pP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cs="Times New Roman"/>
                <w:color w:val="auto"/>
                <w:sz w:val="24"/>
                <w:szCs w:val="24"/>
              </w:rPr>
            </w:pP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cs="Times New Roman"/>
                <w:color w:val="auto"/>
                <w:sz w:val="24"/>
                <w:szCs w:val="24"/>
              </w:rPr>
            </w:pPr>
          </w:p>
        </w:tc>
        <w:tc>
          <w:tcPr>
            <w:tcW w:w="67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ind w:firstLine="240" w:firstLineChars="100"/>
              <w:jc w:val="both"/>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jc w:val="both"/>
              <w:rPr>
                <w:rFonts w:ascii="宋体"/>
                <w:color w:val="auto"/>
                <w:sz w:val="24"/>
                <w:szCs w:val="24"/>
              </w:rPr>
            </w:pPr>
          </w:p>
        </w:tc>
        <w:tc>
          <w:tcPr>
            <w:tcW w:w="734"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color w:val="auto"/>
              </w:rPr>
            </w:pPr>
            <w:r>
              <w:rPr>
                <w:rFonts w:hint="eastAsia" w:ascii="楷体" w:hAnsi="楷体" w:eastAsia="楷体" w:cs="楷体"/>
                <w:color w:val="auto"/>
                <w:kern w:val="0"/>
                <w:sz w:val="20"/>
                <w:szCs w:val="20"/>
              </w:rPr>
              <w:t>（三）不予公开</w:t>
            </w:r>
          </w:p>
        </w:tc>
        <w:tc>
          <w:tcPr>
            <w:tcW w:w="22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color w:val="auto"/>
              </w:rPr>
            </w:pPr>
            <w:r>
              <w:rPr>
                <w:rFonts w:hint="eastAsia" w:ascii="楷体" w:hAnsi="楷体" w:eastAsia="楷体" w:cs="楷体"/>
                <w:color w:val="auto"/>
                <w:kern w:val="0"/>
                <w:sz w:val="20"/>
                <w:szCs w:val="20"/>
              </w:rPr>
              <w:t>1.属于国家秘密</w:t>
            </w:r>
          </w:p>
        </w:tc>
        <w:tc>
          <w:tcPr>
            <w:tcW w:w="74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7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7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81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both"/>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both"/>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679"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both"/>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0"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jc w:val="both"/>
              <w:rPr>
                <w:rFonts w:ascii="宋体"/>
                <w:color w:val="auto"/>
                <w:sz w:val="24"/>
                <w:szCs w:val="24"/>
              </w:rPr>
            </w:pPr>
          </w:p>
        </w:tc>
        <w:tc>
          <w:tcPr>
            <w:tcW w:w="73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ascii="宋体"/>
                <w:color w:val="auto"/>
                <w:sz w:val="24"/>
                <w:szCs w:val="24"/>
              </w:rPr>
            </w:pPr>
          </w:p>
        </w:tc>
        <w:tc>
          <w:tcPr>
            <w:tcW w:w="22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color w:val="auto"/>
              </w:rPr>
            </w:pPr>
            <w:r>
              <w:rPr>
                <w:rFonts w:hint="eastAsia" w:ascii="楷体" w:hAnsi="楷体" w:eastAsia="楷体" w:cs="楷体"/>
                <w:color w:val="auto"/>
                <w:kern w:val="0"/>
                <w:sz w:val="20"/>
                <w:szCs w:val="20"/>
              </w:rPr>
              <w:t>2.其他法律行政法规禁止公开</w:t>
            </w:r>
          </w:p>
        </w:tc>
        <w:tc>
          <w:tcPr>
            <w:tcW w:w="74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7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7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81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both"/>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both"/>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67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both"/>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jc w:val="both"/>
              <w:rPr>
                <w:rFonts w:ascii="宋体"/>
                <w:color w:val="auto"/>
                <w:sz w:val="24"/>
                <w:szCs w:val="24"/>
              </w:rPr>
            </w:pPr>
          </w:p>
        </w:tc>
        <w:tc>
          <w:tcPr>
            <w:tcW w:w="73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ascii="宋体"/>
                <w:color w:val="auto"/>
                <w:sz w:val="24"/>
                <w:szCs w:val="24"/>
              </w:rPr>
            </w:pPr>
          </w:p>
        </w:tc>
        <w:tc>
          <w:tcPr>
            <w:tcW w:w="22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color w:val="auto"/>
              </w:rPr>
            </w:pPr>
            <w:r>
              <w:rPr>
                <w:rFonts w:hint="eastAsia" w:ascii="楷体" w:hAnsi="楷体" w:eastAsia="楷体" w:cs="楷体"/>
                <w:color w:val="auto"/>
                <w:kern w:val="0"/>
                <w:sz w:val="20"/>
                <w:szCs w:val="20"/>
              </w:rPr>
              <w:t>3.危及“三安全一稳定”</w:t>
            </w:r>
          </w:p>
        </w:tc>
        <w:tc>
          <w:tcPr>
            <w:tcW w:w="74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7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7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81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both"/>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both"/>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67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both"/>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jc w:val="both"/>
              <w:rPr>
                <w:rFonts w:ascii="宋体"/>
                <w:color w:val="auto"/>
                <w:sz w:val="24"/>
                <w:szCs w:val="24"/>
              </w:rPr>
            </w:pPr>
          </w:p>
        </w:tc>
        <w:tc>
          <w:tcPr>
            <w:tcW w:w="73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ascii="宋体"/>
                <w:color w:val="auto"/>
                <w:sz w:val="24"/>
                <w:szCs w:val="24"/>
              </w:rPr>
            </w:pPr>
          </w:p>
        </w:tc>
        <w:tc>
          <w:tcPr>
            <w:tcW w:w="22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color w:val="auto"/>
              </w:rPr>
            </w:pPr>
            <w:r>
              <w:rPr>
                <w:rFonts w:hint="eastAsia" w:ascii="楷体" w:hAnsi="楷体" w:eastAsia="楷体" w:cs="楷体"/>
                <w:color w:val="auto"/>
                <w:kern w:val="0"/>
                <w:sz w:val="20"/>
                <w:szCs w:val="20"/>
              </w:rPr>
              <w:t>4.保护第三方合法权益</w:t>
            </w:r>
          </w:p>
        </w:tc>
        <w:tc>
          <w:tcPr>
            <w:tcW w:w="74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7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7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81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both"/>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both"/>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67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both"/>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jc w:val="both"/>
              <w:rPr>
                <w:rFonts w:ascii="宋体"/>
                <w:color w:val="auto"/>
                <w:sz w:val="24"/>
                <w:szCs w:val="24"/>
              </w:rPr>
            </w:pPr>
          </w:p>
        </w:tc>
        <w:tc>
          <w:tcPr>
            <w:tcW w:w="73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ascii="宋体"/>
                <w:color w:val="auto"/>
                <w:sz w:val="24"/>
                <w:szCs w:val="24"/>
              </w:rPr>
            </w:pPr>
          </w:p>
        </w:tc>
        <w:tc>
          <w:tcPr>
            <w:tcW w:w="22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color w:val="auto"/>
              </w:rPr>
            </w:pPr>
            <w:r>
              <w:rPr>
                <w:rFonts w:hint="eastAsia" w:ascii="楷体" w:hAnsi="楷体" w:eastAsia="楷体" w:cs="楷体"/>
                <w:color w:val="auto"/>
                <w:kern w:val="0"/>
                <w:sz w:val="20"/>
                <w:szCs w:val="20"/>
              </w:rPr>
              <w:t>5.属于三类内部事务信息</w:t>
            </w:r>
          </w:p>
        </w:tc>
        <w:tc>
          <w:tcPr>
            <w:tcW w:w="74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ind w:firstLine="240" w:firstLineChars="100"/>
              <w:jc w:val="both"/>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kern w:val="0"/>
                <w:sz w:val="24"/>
                <w:szCs w:val="24"/>
                <w:lang w:val="en-US" w:eastAsia="zh-CN"/>
              </w:rPr>
              <w:t>1</w:t>
            </w:r>
          </w:p>
        </w:tc>
        <w:tc>
          <w:tcPr>
            <w:tcW w:w="7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sz w:val="24"/>
                <w:szCs w:val="24"/>
              </w:rPr>
            </w:pPr>
          </w:p>
        </w:tc>
        <w:tc>
          <w:tcPr>
            <w:tcW w:w="7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sz w:val="24"/>
                <w:szCs w:val="24"/>
              </w:rPr>
            </w:pPr>
          </w:p>
        </w:tc>
        <w:tc>
          <w:tcPr>
            <w:tcW w:w="81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sz w:val="24"/>
                <w:szCs w:val="24"/>
              </w:rPr>
            </w:pP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cs="Times New Roman"/>
                <w:color w:val="auto"/>
                <w:sz w:val="24"/>
                <w:szCs w:val="24"/>
              </w:rPr>
            </w:pP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cs="Times New Roman"/>
                <w:color w:val="auto"/>
                <w:sz w:val="24"/>
                <w:szCs w:val="24"/>
              </w:rPr>
            </w:pPr>
          </w:p>
        </w:tc>
        <w:tc>
          <w:tcPr>
            <w:tcW w:w="67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kern w:val="0"/>
                <w:sz w:val="24"/>
                <w:szCs w:val="24"/>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jc w:val="both"/>
              <w:rPr>
                <w:rFonts w:ascii="宋体"/>
                <w:color w:val="auto"/>
                <w:sz w:val="24"/>
                <w:szCs w:val="24"/>
              </w:rPr>
            </w:pPr>
          </w:p>
        </w:tc>
        <w:tc>
          <w:tcPr>
            <w:tcW w:w="73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ascii="宋体"/>
                <w:color w:val="auto"/>
                <w:sz w:val="24"/>
                <w:szCs w:val="24"/>
              </w:rPr>
            </w:pPr>
          </w:p>
        </w:tc>
        <w:tc>
          <w:tcPr>
            <w:tcW w:w="22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color w:val="auto"/>
              </w:rPr>
            </w:pPr>
            <w:r>
              <w:rPr>
                <w:rFonts w:hint="eastAsia" w:ascii="楷体" w:hAnsi="楷体" w:eastAsia="楷体" w:cs="楷体"/>
                <w:color w:val="auto"/>
                <w:kern w:val="0"/>
                <w:sz w:val="20"/>
                <w:szCs w:val="20"/>
              </w:rPr>
              <w:t>6.属于四类过程性信息</w:t>
            </w:r>
          </w:p>
        </w:tc>
        <w:tc>
          <w:tcPr>
            <w:tcW w:w="74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7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7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81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both"/>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both"/>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67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both"/>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jc w:val="both"/>
              <w:rPr>
                <w:rFonts w:ascii="宋体"/>
                <w:color w:val="auto"/>
                <w:sz w:val="24"/>
                <w:szCs w:val="24"/>
              </w:rPr>
            </w:pPr>
          </w:p>
        </w:tc>
        <w:tc>
          <w:tcPr>
            <w:tcW w:w="73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ascii="宋体"/>
                <w:color w:val="auto"/>
                <w:sz w:val="24"/>
                <w:szCs w:val="24"/>
              </w:rPr>
            </w:pPr>
          </w:p>
        </w:tc>
        <w:tc>
          <w:tcPr>
            <w:tcW w:w="22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color w:val="auto"/>
              </w:rPr>
            </w:pPr>
            <w:r>
              <w:rPr>
                <w:rFonts w:hint="eastAsia" w:ascii="楷体" w:hAnsi="楷体" w:eastAsia="楷体" w:cs="楷体"/>
                <w:color w:val="auto"/>
                <w:kern w:val="0"/>
                <w:sz w:val="20"/>
                <w:szCs w:val="20"/>
              </w:rPr>
              <w:t>7.属于行政执法案卷</w:t>
            </w:r>
          </w:p>
        </w:tc>
        <w:tc>
          <w:tcPr>
            <w:tcW w:w="74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7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7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81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both"/>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both"/>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67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both"/>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jc w:val="both"/>
              <w:rPr>
                <w:rFonts w:ascii="宋体"/>
                <w:color w:val="auto"/>
                <w:sz w:val="24"/>
                <w:szCs w:val="24"/>
              </w:rPr>
            </w:pPr>
          </w:p>
        </w:tc>
        <w:tc>
          <w:tcPr>
            <w:tcW w:w="73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ascii="宋体"/>
                <w:color w:val="auto"/>
                <w:sz w:val="24"/>
                <w:szCs w:val="24"/>
              </w:rPr>
            </w:pPr>
          </w:p>
        </w:tc>
        <w:tc>
          <w:tcPr>
            <w:tcW w:w="22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color w:val="auto"/>
              </w:rPr>
            </w:pPr>
            <w:r>
              <w:rPr>
                <w:rFonts w:hint="eastAsia" w:ascii="楷体" w:hAnsi="楷体" w:eastAsia="楷体" w:cs="楷体"/>
                <w:color w:val="auto"/>
                <w:kern w:val="0"/>
                <w:sz w:val="20"/>
                <w:szCs w:val="20"/>
              </w:rPr>
              <w:t>8.属于行政查询事项</w:t>
            </w:r>
          </w:p>
        </w:tc>
        <w:tc>
          <w:tcPr>
            <w:tcW w:w="74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7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7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81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both"/>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both"/>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67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both"/>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jc w:val="both"/>
              <w:rPr>
                <w:rFonts w:ascii="宋体"/>
                <w:color w:val="auto"/>
                <w:sz w:val="24"/>
                <w:szCs w:val="24"/>
              </w:rPr>
            </w:pPr>
          </w:p>
        </w:tc>
        <w:tc>
          <w:tcPr>
            <w:tcW w:w="734"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color w:val="auto"/>
              </w:rPr>
            </w:pPr>
            <w:r>
              <w:rPr>
                <w:rFonts w:hint="eastAsia" w:ascii="楷体" w:hAnsi="楷体" w:eastAsia="楷体" w:cs="楷体"/>
                <w:color w:val="auto"/>
                <w:kern w:val="0"/>
                <w:sz w:val="20"/>
                <w:szCs w:val="20"/>
              </w:rPr>
              <w:t>（四）无法提供</w:t>
            </w:r>
          </w:p>
        </w:tc>
        <w:tc>
          <w:tcPr>
            <w:tcW w:w="22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color w:val="auto"/>
              </w:rPr>
            </w:pPr>
            <w:r>
              <w:rPr>
                <w:rFonts w:hint="eastAsia" w:ascii="楷体" w:hAnsi="楷体" w:eastAsia="楷体" w:cs="楷体"/>
                <w:color w:val="auto"/>
                <w:kern w:val="0"/>
                <w:sz w:val="20"/>
                <w:szCs w:val="20"/>
              </w:rPr>
              <w:t>1.本机关不掌握相关政府信息</w:t>
            </w:r>
          </w:p>
        </w:tc>
        <w:tc>
          <w:tcPr>
            <w:tcW w:w="74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8</w:t>
            </w:r>
          </w:p>
        </w:tc>
        <w:tc>
          <w:tcPr>
            <w:tcW w:w="7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sz w:val="24"/>
                <w:szCs w:val="24"/>
              </w:rPr>
            </w:pPr>
          </w:p>
        </w:tc>
        <w:tc>
          <w:tcPr>
            <w:tcW w:w="7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sz w:val="24"/>
                <w:szCs w:val="24"/>
              </w:rPr>
            </w:pPr>
          </w:p>
        </w:tc>
        <w:tc>
          <w:tcPr>
            <w:tcW w:w="81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sz w:val="24"/>
                <w:szCs w:val="24"/>
              </w:rPr>
            </w:pP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cs="Times New Roman"/>
                <w:color w:val="auto"/>
                <w:sz w:val="24"/>
                <w:szCs w:val="24"/>
              </w:rPr>
            </w:pP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cs="Times New Roman"/>
                <w:color w:val="auto"/>
                <w:sz w:val="24"/>
                <w:szCs w:val="24"/>
              </w:rPr>
            </w:pPr>
          </w:p>
        </w:tc>
        <w:tc>
          <w:tcPr>
            <w:tcW w:w="67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ind w:firstLine="240" w:firstLineChars="100"/>
              <w:jc w:val="both"/>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kern w:val="0"/>
                <w:sz w:val="24"/>
                <w:szCs w:val="24"/>
                <w:lang w:val="en-US" w:eastAsia="zh-CN"/>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jc w:val="both"/>
              <w:rPr>
                <w:rFonts w:ascii="宋体"/>
                <w:color w:val="auto"/>
                <w:sz w:val="24"/>
                <w:szCs w:val="24"/>
              </w:rPr>
            </w:pPr>
          </w:p>
        </w:tc>
        <w:tc>
          <w:tcPr>
            <w:tcW w:w="73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ascii="宋体"/>
                <w:color w:val="auto"/>
                <w:sz w:val="24"/>
                <w:szCs w:val="24"/>
              </w:rPr>
            </w:pPr>
          </w:p>
        </w:tc>
        <w:tc>
          <w:tcPr>
            <w:tcW w:w="22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color w:val="auto"/>
              </w:rPr>
            </w:pPr>
            <w:r>
              <w:rPr>
                <w:rFonts w:hint="eastAsia" w:ascii="楷体" w:hAnsi="楷体" w:eastAsia="楷体" w:cs="楷体"/>
                <w:color w:val="auto"/>
                <w:kern w:val="0"/>
                <w:sz w:val="20"/>
                <w:szCs w:val="20"/>
              </w:rPr>
              <w:t>2.没有现成信息需要另行制作</w:t>
            </w:r>
          </w:p>
        </w:tc>
        <w:tc>
          <w:tcPr>
            <w:tcW w:w="74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sz w:val="24"/>
                <w:szCs w:val="24"/>
              </w:rPr>
            </w:pPr>
          </w:p>
        </w:tc>
        <w:tc>
          <w:tcPr>
            <w:tcW w:w="7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sz w:val="24"/>
                <w:szCs w:val="24"/>
              </w:rPr>
            </w:pPr>
          </w:p>
        </w:tc>
        <w:tc>
          <w:tcPr>
            <w:tcW w:w="7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sz w:val="24"/>
                <w:szCs w:val="24"/>
              </w:rPr>
            </w:pPr>
          </w:p>
        </w:tc>
        <w:tc>
          <w:tcPr>
            <w:tcW w:w="81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sz w:val="24"/>
                <w:szCs w:val="24"/>
              </w:rPr>
            </w:pP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cs="Times New Roman"/>
                <w:color w:val="auto"/>
                <w:sz w:val="24"/>
                <w:szCs w:val="24"/>
              </w:rPr>
            </w:pP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cs="Times New Roman"/>
                <w:color w:val="auto"/>
                <w:sz w:val="24"/>
                <w:szCs w:val="24"/>
              </w:rPr>
            </w:pPr>
          </w:p>
        </w:tc>
        <w:tc>
          <w:tcPr>
            <w:tcW w:w="67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cs="Times New Roman"/>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0"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jc w:val="both"/>
              <w:rPr>
                <w:rFonts w:ascii="宋体"/>
                <w:color w:val="auto"/>
                <w:sz w:val="24"/>
                <w:szCs w:val="24"/>
              </w:rPr>
            </w:pPr>
          </w:p>
        </w:tc>
        <w:tc>
          <w:tcPr>
            <w:tcW w:w="734" w:type="dxa"/>
            <w:vMerge w:val="continue"/>
            <w:tcBorders>
              <w:top w:val="nil"/>
              <w:left w:val="nil"/>
              <w:bottom w:val="single" w:color="auto" w:sz="4"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ascii="宋体"/>
                <w:color w:val="auto"/>
                <w:sz w:val="24"/>
                <w:szCs w:val="24"/>
              </w:rPr>
            </w:pPr>
          </w:p>
        </w:tc>
        <w:tc>
          <w:tcPr>
            <w:tcW w:w="2275" w:type="dxa"/>
            <w:tcBorders>
              <w:top w:val="nil"/>
              <w:left w:val="nil"/>
              <w:bottom w:val="single" w:color="auto" w:sz="4"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color w:val="auto"/>
              </w:rPr>
            </w:pPr>
            <w:r>
              <w:rPr>
                <w:rFonts w:hint="eastAsia" w:ascii="楷体" w:hAnsi="楷体" w:eastAsia="楷体" w:cs="楷体"/>
                <w:color w:val="auto"/>
                <w:kern w:val="0"/>
                <w:sz w:val="20"/>
                <w:szCs w:val="20"/>
              </w:rPr>
              <w:t>3.补正后申请内容仍不明确</w:t>
            </w:r>
          </w:p>
        </w:tc>
        <w:tc>
          <w:tcPr>
            <w:tcW w:w="749" w:type="dxa"/>
            <w:tcBorders>
              <w:top w:val="nil"/>
              <w:left w:val="nil"/>
              <w:bottom w:val="single" w:color="auto" w:sz="4"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kern w:val="0"/>
                <w:sz w:val="24"/>
                <w:szCs w:val="24"/>
                <w:lang w:val="en-US" w:eastAsia="zh-CN"/>
              </w:rPr>
              <w:t>1</w:t>
            </w:r>
          </w:p>
        </w:tc>
        <w:tc>
          <w:tcPr>
            <w:tcW w:w="756" w:type="dxa"/>
            <w:tcBorders>
              <w:top w:val="nil"/>
              <w:left w:val="nil"/>
              <w:bottom w:val="single" w:color="auto" w:sz="4"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sz w:val="24"/>
                <w:szCs w:val="24"/>
              </w:rPr>
            </w:pPr>
          </w:p>
        </w:tc>
        <w:tc>
          <w:tcPr>
            <w:tcW w:w="756" w:type="dxa"/>
            <w:tcBorders>
              <w:top w:val="nil"/>
              <w:left w:val="nil"/>
              <w:bottom w:val="single" w:color="auto" w:sz="4"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sz w:val="24"/>
                <w:szCs w:val="24"/>
              </w:rPr>
            </w:pPr>
          </w:p>
        </w:tc>
        <w:tc>
          <w:tcPr>
            <w:tcW w:w="815" w:type="dxa"/>
            <w:tcBorders>
              <w:top w:val="nil"/>
              <w:left w:val="nil"/>
              <w:bottom w:val="single" w:color="auto" w:sz="4"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sz w:val="24"/>
                <w:szCs w:val="24"/>
              </w:rPr>
            </w:pPr>
          </w:p>
        </w:tc>
        <w:tc>
          <w:tcPr>
            <w:tcW w:w="976" w:type="dxa"/>
            <w:tcBorders>
              <w:top w:val="nil"/>
              <w:left w:val="nil"/>
              <w:bottom w:val="single" w:color="auto" w:sz="4"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cs="Times New Roman"/>
                <w:color w:val="auto"/>
                <w:sz w:val="24"/>
                <w:szCs w:val="24"/>
              </w:rPr>
            </w:pPr>
          </w:p>
        </w:tc>
        <w:tc>
          <w:tcPr>
            <w:tcW w:w="713" w:type="dxa"/>
            <w:tcBorders>
              <w:top w:val="nil"/>
              <w:left w:val="nil"/>
              <w:bottom w:val="single" w:color="auto" w:sz="4"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cs="Times New Roman"/>
                <w:color w:val="auto"/>
                <w:sz w:val="24"/>
                <w:szCs w:val="24"/>
              </w:rPr>
            </w:pPr>
          </w:p>
        </w:tc>
        <w:tc>
          <w:tcPr>
            <w:tcW w:w="679" w:type="dxa"/>
            <w:tcBorders>
              <w:top w:val="nil"/>
              <w:left w:val="nil"/>
              <w:bottom w:val="single" w:color="auto" w:sz="4"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kern w:val="0"/>
                <w:sz w:val="24"/>
                <w:szCs w:val="24"/>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jc w:val="both"/>
              <w:rPr>
                <w:rFonts w:ascii="宋体"/>
                <w:color w:val="auto"/>
                <w:sz w:val="24"/>
                <w:szCs w:val="24"/>
              </w:rPr>
            </w:pPr>
          </w:p>
        </w:tc>
        <w:tc>
          <w:tcPr>
            <w:tcW w:w="734" w:type="dxa"/>
            <w:vMerge w:val="restart"/>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color w:val="auto"/>
              </w:rPr>
            </w:pPr>
            <w:r>
              <w:rPr>
                <w:rFonts w:hint="eastAsia" w:ascii="楷体" w:hAnsi="楷体" w:eastAsia="楷体" w:cs="楷体"/>
                <w:color w:val="auto"/>
                <w:kern w:val="0"/>
                <w:sz w:val="20"/>
                <w:szCs w:val="20"/>
              </w:rPr>
              <w:t>（五）不予处理</w:t>
            </w:r>
          </w:p>
        </w:tc>
        <w:tc>
          <w:tcPr>
            <w:tcW w:w="2275"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color w:val="auto"/>
              </w:rPr>
            </w:pPr>
            <w:r>
              <w:rPr>
                <w:rFonts w:hint="eastAsia" w:ascii="楷体" w:hAnsi="楷体" w:eastAsia="楷体" w:cs="楷体"/>
                <w:color w:val="auto"/>
                <w:kern w:val="0"/>
                <w:sz w:val="20"/>
                <w:szCs w:val="20"/>
              </w:rPr>
              <w:t>1.信访举报投诉类申请</w:t>
            </w:r>
          </w:p>
        </w:tc>
        <w:tc>
          <w:tcPr>
            <w:tcW w:w="749"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756"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756"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815"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976" w:type="dxa"/>
            <w:tcBorders>
              <w:top w:val="single" w:color="auto" w:sz="4" w:space="0"/>
              <w:left w:val="nil"/>
              <w:bottom w:val="single" w:color="auto" w:sz="8" w:space="0"/>
              <w:right w:val="single" w:color="auto" w:sz="8" w:space="0"/>
            </w:tcBorders>
            <w:noWrap w:val="0"/>
            <w:tcMar>
              <w:left w:w="108" w:type="dxa"/>
              <w:right w:w="108" w:type="dxa"/>
            </w:tcMar>
            <w:vAlign w:val="center"/>
          </w:tcPr>
          <w:p>
            <w:pPr>
              <w:widowControl/>
              <w:spacing w:after="180"/>
              <w:jc w:val="both"/>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713" w:type="dxa"/>
            <w:tcBorders>
              <w:top w:val="single" w:color="auto" w:sz="4" w:space="0"/>
              <w:left w:val="nil"/>
              <w:bottom w:val="single" w:color="auto" w:sz="8" w:space="0"/>
              <w:right w:val="single" w:color="auto" w:sz="8" w:space="0"/>
            </w:tcBorders>
            <w:noWrap w:val="0"/>
            <w:tcMar>
              <w:left w:w="108" w:type="dxa"/>
              <w:right w:w="108" w:type="dxa"/>
            </w:tcMar>
            <w:vAlign w:val="center"/>
          </w:tcPr>
          <w:p>
            <w:pPr>
              <w:widowControl/>
              <w:spacing w:after="180"/>
              <w:jc w:val="both"/>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679" w:type="dxa"/>
            <w:tcBorders>
              <w:top w:val="single" w:color="auto" w:sz="4" w:space="0"/>
              <w:left w:val="nil"/>
              <w:bottom w:val="single" w:color="auto" w:sz="8" w:space="0"/>
              <w:right w:val="single" w:color="auto" w:sz="8" w:space="0"/>
            </w:tcBorders>
            <w:noWrap w:val="0"/>
            <w:tcMar>
              <w:left w:w="108" w:type="dxa"/>
              <w:right w:w="108" w:type="dxa"/>
            </w:tcMar>
            <w:vAlign w:val="center"/>
          </w:tcPr>
          <w:p>
            <w:pPr>
              <w:widowControl/>
              <w:spacing w:after="180"/>
              <w:jc w:val="both"/>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jc w:val="both"/>
              <w:rPr>
                <w:rFonts w:ascii="宋体"/>
                <w:color w:val="auto"/>
                <w:sz w:val="24"/>
                <w:szCs w:val="24"/>
              </w:rPr>
            </w:pPr>
          </w:p>
        </w:tc>
        <w:tc>
          <w:tcPr>
            <w:tcW w:w="73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ascii="宋体"/>
                <w:color w:val="auto"/>
                <w:sz w:val="24"/>
                <w:szCs w:val="24"/>
              </w:rPr>
            </w:pPr>
          </w:p>
        </w:tc>
        <w:tc>
          <w:tcPr>
            <w:tcW w:w="22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color w:val="auto"/>
              </w:rPr>
            </w:pPr>
            <w:r>
              <w:rPr>
                <w:rFonts w:hint="eastAsia" w:ascii="楷体" w:hAnsi="楷体" w:eastAsia="楷体" w:cs="楷体"/>
                <w:color w:val="auto"/>
                <w:kern w:val="0"/>
                <w:sz w:val="20"/>
                <w:szCs w:val="20"/>
              </w:rPr>
              <w:t>2.重复申请</w:t>
            </w:r>
          </w:p>
        </w:tc>
        <w:tc>
          <w:tcPr>
            <w:tcW w:w="74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7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7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81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both"/>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both"/>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67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both"/>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jc w:val="both"/>
              <w:rPr>
                <w:rFonts w:ascii="宋体"/>
                <w:color w:val="auto"/>
                <w:sz w:val="24"/>
                <w:szCs w:val="24"/>
              </w:rPr>
            </w:pPr>
          </w:p>
        </w:tc>
        <w:tc>
          <w:tcPr>
            <w:tcW w:w="73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ascii="宋体"/>
                <w:color w:val="auto"/>
                <w:sz w:val="24"/>
                <w:szCs w:val="24"/>
              </w:rPr>
            </w:pPr>
          </w:p>
        </w:tc>
        <w:tc>
          <w:tcPr>
            <w:tcW w:w="22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color w:val="auto"/>
              </w:rPr>
            </w:pPr>
            <w:r>
              <w:rPr>
                <w:rFonts w:hint="eastAsia" w:ascii="楷体" w:hAnsi="楷体" w:eastAsia="楷体" w:cs="楷体"/>
                <w:color w:val="auto"/>
                <w:kern w:val="0"/>
                <w:sz w:val="20"/>
                <w:szCs w:val="20"/>
              </w:rPr>
              <w:t>3.要求提供公开出版物</w:t>
            </w:r>
          </w:p>
        </w:tc>
        <w:tc>
          <w:tcPr>
            <w:tcW w:w="74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7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7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81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both"/>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both"/>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67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both"/>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jc w:val="both"/>
              <w:rPr>
                <w:rFonts w:ascii="宋体"/>
                <w:color w:val="auto"/>
                <w:sz w:val="24"/>
                <w:szCs w:val="24"/>
              </w:rPr>
            </w:pPr>
          </w:p>
        </w:tc>
        <w:tc>
          <w:tcPr>
            <w:tcW w:w="73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ascii="宋体"/>
                <w:color w:val="auto"/>
                <w:sz w:val="24"/>
                <w:szCs w:val="24"/>
              </w:rPr>
            </w:pPr>
          </w:p>
        </w:tc>
        <w:tc>
          <w:tcPr>
            <w:tcW w:w="22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color w:val="auto"/>
              </w:rPr>
            </w:pPr>
            <w:r>
              <w:rPr>
                <w:rFonts w:hint="eastAsia" w:ascii="楷体" w:hAnsi="楷体" w:eastAsia="楷体" w:cs="楷体"/>
                <w:color w:val="auto"/>
                <w:kern w:val="0"/>
                <w:sz w:val="20"/>
                <w:szCs w:val="20"/>
              </w:rPr>
              <w:t>4.无正当理由大量反复申请</w:t>
            </w:r>
          </w:p>
        </w:tc>
        <w:tc>
          <w:tcPr>
            <w:tcW w:w="74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7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7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81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both"/>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both"/>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67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both"/>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jc w:val="both"/>
              <w:rPr>
                <w:rFonts w:ascii="宋体"/>
                <w:color w:val="auto"/>
                <w:sz w:val="24"/>
                <w:szCs w:val="24"/>
              </w:rPr>
            </w:pPr>
          </w:p>
        </w:tc>
        <w:tc>
          <w:tcPr>
            <w:tcW w:w="73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ascii="宋体"/>
                <w:color w:val="auto"/>
                <w:sz w:val="24"/>
                <w:szCs w:val="24"/>
              </w:rPr>
            </w:pPr>
          </w:p>
        </w:tc>
        <w:tc>
          <w:tcPr>
            <w:tcW w:w="22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color w:val="auto"/>
              </w:rPr>
            </w:pPr>
            <w:r>
              <w:rPr>
                <w:rFonts w:hint="eastAsia" w:ascii="楷体" w:hAnsi="楷体" w:eastAsia="楷体" w:cs="楷体"/>
                <w:color w:val="auto"/>
                <w:kern w:val="0"/>
                <w:sz w:val="20"/>
                <w:szCs w:val="20"/>
              </w:rPr>
              <w:t>5.要求行政机关确认或重新出具已获取信息</w:t>
            </w:r>
          </w:p>
        </w:tc>
        <w:tc>
          <w:tcPr>
            <w:tcW w:w="74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7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7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81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both"/>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both"/>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67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both"/>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jc w:val="both"/>
              <w:rPr>
                <w:rFonts w:ascii="宋体"/>
                <w:color w:val="auto"/>
                <w:sz w:val="24"/>
                <w:szCs w:val="24"/>
              </w:rPr>
            </w:pPr>
          </w:p>
        </w:tc>
        <w:tc>
          <w:tcPr>
            <w:tcW w:w="3009"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color w:val="auto"/>
              </w:rPr>
            </w:pPr>
            <w:r>
              <w:rPr>
                <w:rFonts w:hint="eastAsia" w:ascii="楷体" w:hAnsi="楷体" w:eastAsia="楷体" w:cs="楷体"/>
                <w:color w:val="auto"/>
                <w:kern w:val="0"/>
                <w:sz w:val="20"/>
                <w:szCs w:val="20"/>
              </w:rPr>
              <w:t>（六）其他处理</w:t>
            </w:r>
          </w:p>
        </w:tc>
        <w:tc>
          <w:tcPr>
            <w:tcW w:w="74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eastAsia"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kern w:val="0"/>
                <w:sz w:val="24"/>
                <w:szCs w:val="24"/>
              </w:rPr>
              <w:t> </w:t>
            </w:r>
            <w:r>
              <w:rPr>
                <w:rFonts w:hint="eastAsia" w:ascii="Times New Roman" w:hAnsi="Times New Roman" w:eastAsia="宋体" w:cs="Times New Roman"/>
                <w:color w:val="auto"/>
                <w:kern w:val="0"/>
                <w:sz w:val="24"/>
                <w:szCs w:val="24"/>
                <w:lang w:val="en-US" w:eastAsia="zh-CN"/>
              </w:rPr>
              <w:t xml:space="preserve"> 2</w:t>
            </w:r>
          </w:p>
        </w:tc>
        <w:tc>
          <w:tcPr>
            <w:tcW w:w="7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7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81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both"/>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both"/>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rPr>
              <w:t> </w:t>
            </w:r>
          </w:p>
        </w:tc>
        <w:tc>
          <w:tcPr>
            <w:tcW w:w="67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both"/>
              <w:rPr>
                <w:rFonts w:hint="eastAsia"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kern w:val="0"/>
                <w:sz w:val="24"/>
                <w:szCs w:val="24"/>
              </w:rPr>
              <w:t> </w:t>
            </w:r>
            <w:r>
              <w:rPr>
                <w:rFonts w:hint="eastAsia" w:ascii="Times New Roman" w:hAnsi="Times New Roman" w:eastAsia="宋体" w:cs="Times New Roman"/>
                <w:color w:val="auto"/>
                <w:kern w:val="0"/>
                <w:sz w:val="24"/>
                <w:szCs w:val="24"/>
                <w:lang w:val="en-US" w:eastAsia="zh-CN"/>
              </w:rPr>
              <w:t xml:space="preserve"> 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84"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jc w:val="both"/>
              <w:rPr>
                <w:rFonts w:ascii="宋体"/>
                <w:color w:val="auto"/>
                <w:sz w:val="24"/>
                <w:szCs w:val="24"/>
              </w:rPr>
            </w:pPr>
          </w:p>
        </w:tc>
        <w:tc>
          <w:tcPr>
            <w:tcW w:w="3009"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color w:val="auto"/>
              </w:rPr>
            </w:pPr>
            <w:r>
              <w:rPr>
                <w:rFonts w:hint="eastAsia" w:ascii="楷体" w:hAnsi="楷体" w:eastAsia="楷体" w:cs="楷体"/>
                <w:color w:val="auto"/>
                <w:kern w:val="0"/>
                <w:sz w:val="20"/>
                <w:szCs w:val="20"/>
              </w:rPr>
              <w:t>（七）总计</w:t>
            </w:r>
          </w:p>
        </w:tc>
        <w:tc>
          <w:tcPr>
            <w:tcW w:w="74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22</w:t>
            </w:r>
          </w:p>
        </w:tc>
        <w:tc>
          <w:tcPr>
            <w:tcW w:w="7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sz w:val="24"/>
                <w:szCs w:val="24"/>
              </w:rPr>
            </w:pPr>
          </w:p>
        </w:tc>
        <w:tc>
          <w:tcPr>
            <w:tcW w:w="7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sz w:val="24"/>
                <w:szCs w:val="24"/>
              </w:rPr>
            </w:pPr>
          </w:p>
        </w:tc>
        <w:tc>
          <w:tcPr>
            <w:tcW w:w="81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sz w:val="24"/>
                <w:szCs w:val="24"/>
              </w:rPr>
            </w:pP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cs="Times New Roman"/>
                <w:color w:val="auto"/>
                <w:sz w:val="24"/>
                <w:szCs w:val="24"/>
              </w:rPr>
            </w:pP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cs="Times New Roman"/>
                <w:color w:val="auto"/>
                <w:sz w:val="24"/>
                <w:szCs w:val="24"/>
              </w:rPr>
            </w:pPr>
          </w:p>
        </w:tc>
        <w:tc>
          <w:tcPr>
            <w:tcW w:w="67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kern w:val="0"/>
                <w:sz w:val="24"/>
                <w:szCs w:val="24"/>
                <w:lang w:val="en-US" w:eastAsia="zh-CN"/>
              </w:rPr>
              <w:t>22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4" w:hRule="atLeast"/>
          <w:jc w:val="center"/>
        </w:trPr>
        <w:tc>
          <w:tcPr>
            <w:tcW w:w="3627"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both"/>
              <w:rPr>
                <w:color w:val="auto"/>
              </w:rPr>
            </w:pPr>
            <w:r>
              <w:rPr>
                <w:rFonts w:hint="eastAsia" w:ascii="宋体" w:hAnsi="宋体" w:eastAsia="宋体" w:cs="宋体"/>
                <w:color w:val="auto"/>
                <w:kern w:val="0"/>
                <w:sz w:val="20"/>
                <w:szCs w:val="20"/>
              </w:rPr>
              <w:t>四、结转下年度继续办理</w:t>
            </w:r>
          </w:p>
        </w:tc>
        <w:tc>
          <w:tcPr>
            <w:tcW w:w="74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ind w:firstLine="240" w:firstLineChars="100"/>
              <w:jc w:val="both"/>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2</w:t>
            </w:r>
          </w:p>
        </w:tc>
        <w:tc>
          <w:tcPr>
            <w:tcW w:w="75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cs="Times New Roman"/>
                <w:color w:val="auto"/>
                <w:sz w:val="24"/>
                <w:szCs w:val="24"/>
              </w:rPr>
            </w:pPr>
          </w:p>
        </w:tc>
        <w:tc>
          <w:tcPr>
            <w:tcW w:w="75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cs="Times New Roman"/>
                <w:color w:val="auto"/>
                <w:sz w:val="24"/>
                <w:szCs w:val="24"/>
              </w:rPr>
            </w:pPr>
          </w:p>
        </w:tc>
        <w:tc>
          <w:tcPr>
            <w:tcW w:w="81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cs="Times New Roman"/>
                <w:color w:val="auto"/>
                <w:sz w:val="24"/>
                <w:szCs w:val="24"/>
              </w:rPr>
            </w:pP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cs="Times New Roman"/>
                <w:color w:val="auto"/>
                <w:sz w:val="24"/>
                <w:szCs w:val="24"/>
              </w:rPr>
            </w:pP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cs="Times New Roman"/>
                <w:color w:val="auto"/>
                <w:sz w:val="24"/>
                <w:szCs w:val="24"/>
              </w:rPr>
            </w:pPr>
          </w:p>
        </w:tc>
        <w:tc>
          <w:tcPr>
            <w:tcW w:w="679" w:type="dxa"/>
            <w:tcBorders>
              <w:top w:val="nil"/>
              <w:left w:val="nil"/>
              <w:bottom w:val="single" w:color="auto" w:sz="8" w:space="0"/>
              <w:right w:val="single" w:color="auto" w:sz="8" w:space="0"/>
            </w:tcBorders>
            <w:noWrap w:val="0"/>
            <w:tcMar>
              <w:left w:w="108" w:type="dxa"/>
              <w:right w:w="108" w:type="dxa"/>
            </w:tcMar>
            <w:vAlign w:val="center"/>
          </w:tcPr>
          <w:p>
            <w:pPr>
              <w:ind w:firstLine="240" w:firstLineChars="100"/>
              <w:jc w:val="both"/>
              <w:rPr>
                <w:rFonts w:hint="default" w:ascii="Times New Roman" w:hAnsi="Times New Roman" w:eastAsia="等线" w:cs="Times New Roman"/>
                <w:color w:val="auto"/>
                <w:sz w:val="24"/>
                <w:szCs w:val="24"/>
                <w:lang w:val="en-US" w:eastAsia="zh-CN"/>
              </w:rPr>
            </w:pPr>
            <w:r>
              <w:rPr>
                <w:rFonts w:hint="default" w:ascii="Times New Roman" w:hAnsi="Times New Roman" w:cs="Times New Roman"/>
                <w:color w:val="auto"/>
                <w:sz w:val="24"/>
                <w:szCs w:val="24"/>
                <w:lang w:val="en-US" w:eastAsia="zh-CN"/>
              </w:rPr>
              <w:t>2</w:t>
            </w:r>
          </w:p>
        </w:tc>
      </w:tr>
    </w:tbl>
    <w:p>
      <w:pPr>
        <w:pStyle w:val="5"/>
        <w:shd w:val="clear" w:color="auto" w:fill="FFFFFF"/>
        <w:spacing w:before="0" w:beforeAutospacing="0" w:after="0" w:afterAutospacing="0"/>
        <w:ind w:firstLine="420"/>
        <w:jc w:val="both"/>
        <w:rPr>
          <w:rFonts w:hint="eastAsia" w:ascii="黑体" w:hAnsi="黑体" w:eastAsia="黑体" w:cs="黑体"/>
          <w:b w:val="0"/>
          <w:bCs/>
          <w:color w:val="auto"/>
          <w:sz w:val="30"/>
          <w:szCs w:val="30"/>
          <w:shd w:val="clear" w:color="auto" w:fill="FFFFFF"/>
        </w:rPr>
      </w:pPr>
      <w:r>
        <w:rPr>
          <w:rFonts w:hint="eastAsia" w:ascii="黑体" w:hAnsi="黑体" w:eastAsia="黑体" w:cs="黑体"/>
          <w:b w:val="0"/>
          <w:bCs/>
          <w:color w:val="auto"/>
          <w:sz w:val="30"/>
          <w:szCs w:val="30"/>
          <w:shd w:val="clear" w:color="auto" w:fill="FFFFFF"/>
        </w:rPr>
        <w:t>四、政府信息公开行政复议、行政诉讼情况</w:t>
      </w:r>
    </w:p>
    <w:tbl>
      <w:tblPr>
        <w:tblStyle w:val="6"/>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ascii="宋体" w:hAnsi="宋体" w:eastAsia="宋体" w:cs="宋体"/>
                <w:color w:val="auto"/>
                <w:kern w:val="0"/>
                <w:sz w:val="20"/>
                <w:szCs w:val="20"/>
              </w:rPr>
              <w:t>行政复议</w:t>
            </w:r>
          </w:p>
        </w:tc>
        <w:tc>
          <w:tcPr>
            <w:tcW w:w="5997"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ascii="宋体" w:hAnsi="宋体" w:eastAsia="宋体" w:cs="宋体"/>
                <w:color w:val="auto"/>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ascii="宋体" w:hAnsi="宋体" w:eastAsia="宋体" w:cs="宋体"/>
                <w:color w:val="auto"/>
                <w:kern w:val="0"/>
                <w:sz w:val="20"/>
                <w:szCs w:val="20"/>
              </w:rPr>
              <w:t>结果维持</w:t>
            </w:r>
          </w:p>
        </w:tc>
        <w:tc>
          <w:tcPr>
            <w:tcW w:w="604"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ascii="宋体" w:hAnsi="宋体" w:eastAsia="宋体" w:cs="宋体"/>
                <w:color w:val="auto"/>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ascii="宋体" w:hAnsi="宋体" w:eastAsia="宋体" w:cs="宋体"/>
                <w:color w:val="auto"/>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ascii="宋体" w:hAnsi="宋体" w:eastAsia="宋体" w:cs="宋体"/>
                <w:color w:val="auto"/>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ascii="宋体" w:hAnsi="宋体" w:eastAsia="宋体" w:cs="宋体"/>
                <w:color w:val="auto"/>
                <w:kern w:val="0"/>
                <w:sz w:val="20"/>
                <w:szCs w:val="20"/>
              </w:rPr>
              <w:t>总计</w:t>
            </w:r>
          </w:p>
        </w:tc>
        <w:tc>
          <w:tcPr>
            <w:tcW w:w="297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ascii="宋体" w:hAnsi="宋体" w:eastAsia="宋体" w:cs="宋体"/>
                <w:color w:val="auto"/>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ascii="宋体" w:hAnsi="宋体" w:eastAsia="宋体" w:cs="宋体"/>
                <w:color w:val="auto"/>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宋体"/>
                <w:color w:val="auto"/>
                <w:sz w:val="24"/>
                <w:szCs w:val="24"/>
              </w:rPr>
            </w:pPr>
          </w:p>
        </w:tc>
        <w:tc>
          <w:tcPr>
            <w:tcW w:w="60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ascii="宋体"/>
                <w:color w:val="auto"/>
                <w:sz w:val="24"/>
                <w:szCs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ascii="宋体"/>
                <w:color w:val="auto"/>
                <w:sz w:val="24"/>
                <w:szCs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ascii="宋体"/>
                <w:color w:val="auto"/>
                <w:sz w:val="24"/>
                <w:szCs w:val="24"/>
              </w:rPr>
            </w:pPr>
          </w:p>
        </w:tc>
        <w:tc>
          <w:tcPr>
            <w:tcW w:w="658"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ascii="宋体"/>
                <w:color w:val="auto"/>
                <w:sz w:val="24"/>
                <w:szCs w:val="24"/>
              </w:rPr>
            </w:pPr>
          </w:p>
        </w:tc>
        <w:tc>
          <w:tcPr>
            <w:tcW w:w="55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ascii="宋体" w:hAnsi="宋体" w:eastAsia="宋体" w:cs="宋体"/>
                <w:color w:val="auto"/>
                <w:kern w:val="0"/>
                <w:sz w:val="20"/>
                <w:szCs w:val="20"/>
              </w:rPr>
              <w:t>结果维持</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ascii="宋体" w:hAnsi="宋体" w:eastAsia="宋体" w:cs="宋体"/>
                <w:color w:val="auto"/>
                <w:kern w:val="0"/>
                <w:sz w:val="20"/>
                <w:szCs w:val="20"/>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ascii="宋体" w:hAnsi="宋体" w:eastAsia="宋体" w:cs="宋体"/>
                <w:color w:val="auto"/>
                <w:kern w:val="0"/>
                <w:sz w:val="20"/>
                <w:szCs w:val="20"/>
              </w:rPr>
              <w:t>其他结果</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ascii="宋体" w:hAnsi="宋体" w:eastAsia="宋体" w:cs="宋体"/>
                <w:color w:val="auto"/>
                <w:kern w:val="0"/>
                <w:sz w:val="20"/>
                <w:szCs w:val="20"/>
              </w:rPr>
              <w:t>尚未审结</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ascii="宋体" w:hAnsi="宋体" w:eastAsia="宋体" w:cs="宋体"/>
                <w:color w:val="auto"/>
                <w:kern w:val="0"/>
                <w:sz w:val="20"/>
                <w:szCs w:val="20"/>
              </w:rPr>
              <w:t>总计</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ascii="宋体" w:hAnsi="宋体" w:eastAsia="宋体" w:cs="宋体"/>
                <w:color w:val="auto"/>
                <w:kern w:val="0"/>
                <w:sz w:val="20"/>
                <w:szCs w:val="20"/>
              </w:rPr>
              <w:t>结果维持</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ascii="宋体" w:hAnsi="宋体" w:eastAsia="宋体" w:cs="宋体"/>
                <w:color w:val="auto"/>
                <w:kern w:val="0"/>
                <w:sz w:val="20"/>
                <w:szCs w:val="20"/>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ascii="宋体" w:hAnsi="宋体" w:eastAsia="宋体" w:cs="宋体"/>
                <w:color w:val="auto"/>
                <w:kern w:val="0"/>
                <w:sz w:val="20"/>
                <w:szCs w:val="20"/>
              </w:rPr>
              <w:t>其他结果</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ascii="宋体" w:hAnsi="宋体" w:eastAsia="宋体" w:cs="宋体"/>
                <w:color w:val="auto"/>
                <w:kern w:val="0"/>
                <w:sz w:val="20"/>
                <w:szCs w:val="20"/>
              </w:rPr>
              <w:t>尚未审结</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ascii="宋体" w:hAnsi="宋体" w:eastAsia="宋体" w:cs="宋体"/>
                <w:color w:val="auto"/>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ascii="Calibri" w:hAnsi="Calibri" w:eastAsia="宋体" w:cs="Calibri"/>
                <w:color w:val="auto"/>
                <w:kern w:val="0"/>
                <w:sz w:val="20"/>
                <w:szCs w:val="20"/>
                <w:lang w:val="en-US" w:eastAsia="zh-CN"/>
              </w:rPr>
              <w:t>1</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ascii="Calibri" w:hAnsi="Calibri" w:eastAsia="宋体" w:cs="Calibri"/>
                <w:color w:val="auto"/>
                <w:kern w:val="0"/>
                <w:sz w:val="20"/>
                <w:szCs w:val="20"/>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ascii="Calibri" w:hAnsi="Calibri" w:eastAsia="宋体" w:cs="Calibri"/>
                <w:color w:val="auto"/>
                <w:kern w:val="0"/>
                <w:sz w:val="20"/>
                <w:szCs w:val="20"/>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color w:val="auto"/>
                <w:lang w:val="en-US" w:eastAsia="zh-CN"/>
              </w:rPr>
            </w:pPr>
            <w:r>
              <w:rPr>
                <w:rFonts w:hint="eastAsia" w:ascii="Calibri" w:hAnsi="Calibri" w:eastAsia="宋体" w:cs="Calibri"/>
                <w:color w:val="auto"/>
                <w:kern w:val="0"/>
                <w:sz w:val="20"/>
                <w:szCs w:val="20"/>
                <w:lang w:val="en-US" w:eastAsia="zh-CN"/>
              </w:rPr>
              <w:t>0</w:t>
            </w:r>
          </w:p>
        </w:tc>
        <w:tc>
          <w:tcPr>
            <w:tcW w:w="65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ascii="Calibri" w:hAnsi="Calibri" w:eastAsia="宋体" w:cs="Calibri"/>
                <w:color w:val="auto"/>
                <w:kern w:val="0"/>
                <w:sz w:val="20"/>
                <w:szCs w:val="20"/>
                <w:lang w:val="en-US" w:eastAsia="zh-CN"/>
              </w:rPr>
              <w:t>1</w:t>
            </w:r>
          </w:p>
        </w:tc>
        <w:tc>
          <w:tcPr>
            <w:tcW w:w="55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ascii="等线" w:hAnsi="等线" w:eastAsia="等线" w:cs="Times New Roman"/>
                <w:color w:val="auto"/>
                <w:kern w:val="2"/>
                <w:sz w:val="21"/>
                <w:szCs w:val="22"/>
                <w:lang w:val="en-US" w:eastAsia="zh-CN" w:bidi="ar-SA"/>
              </w:rPr>
            </w:pPr>
            <w:r>
              <w:rPr>
                <w:rFonts w:hint="eastAsia" w:ascii="Calibri" w:hAnsi="Calibri" w:eastAsia="宋体" w:cs="Calibri"/>
                <w:color w:val="auto"/>
                <w:kern w:val="0"/>
                <w:sz w:val="20"/>
                <w:szCs w:val="20"/>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ascii="等线" w:hAnsi="等线" w:eastAsia="等线" w:cs="Times New Roman"/>
                <w:color w:val="auto"/>
                <w:kern w:val="2"/>
                <w:sz w:val="21"/>
                <w:szCs w:val="22"/>
                <w:lang w:val="en-US" w:eastAsia="zh-CN" w:bidi="ar-SA"/>
              </w:rPr>
            </w:pPr>
            <w:r>
              <w:rPr>
                <w:rFonts w:hint="eastAsia" w:ascii="Calibri" w:hAnsi="Calibri" w:eastAsia="宋体" w:cs="Calibri"/>
                <w:color w:val="auto"/>
                <w:kern w:val="0"/>
                <w:sz w:val="20"/>
                <w:szCs w:val="20"/>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ascii="等线" w:hAnsi="等线" w:eastAsia="等线" w:cs="Times New Roman"/>
                <w:color w:val="auto"/>
                <w:kern w:val="2"/>
                <w:sz w:val="21"/>
                <w:szCs w:val="22"/>
                <w:lang w:val="en-US" w:eastAsia="zh-CN" w:bidi="ar-SA"/>
              </w:rPr>
            </w:pPr>
            <w:r>
              <w:rPr>
                <w:rFonts w:hint="eastAsia" w:ascii="Calibri" w:hAnsi="Calibri" w:eastAsia="宋体" w:cs="Calibri"/>
                <w:color w:val="auto"/>
                <w:kern w:val="0"/>
                <w:sz w:val="20"/>
                <w:szCs w:val="20"/>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ascii="等线" w:hAnsi="等线" w:eastAsia="等线" w:cs="Times New Roman"/>
                <w:color w:val="auto"/>
                <w:kern w:val="2"/>
                <w:sz w:val="21"/>
                <w:szCs w:val="22"/>
                <w:lang w:val="en-US" w:eastAsia="zh-CN" w:bidi="ar-SA"/>
              </w:rPr>
            </w:pPr>
            <w:r>
              <w:rPr>
                <w:rFonts w:hint="eastAsia" w:ascii="Calibri" w:hAnsi="Calibri" w:eastAsia="宋体" w:cs="Calibri"/>
                <w:color w:val="auto"/>
                <w:kern w:val="0"/>
                <w:sz w:val="20"/>
                <w:szCs w:val="20"/>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ascii="等线" w:hAnsi="等线" w:eastAsia="等线" w:cs="Times New Roman"/>
                <w:color w:val="auto"/>
                <w:kern w:val="2"/>
                <w:sz w:val="21"/>
                <w:szCs w:val="22"/>
                <w:lang w:val="en-US" w:eastAsia="zh-CN" w:bidi="ar-SA"/>
              </w:rPr>
            </w:pPr>
            <w:r>
              <w:rPr>
                <w:rFonts w:hint="eastAsia" w:ascii="Calibri" w:hAnsi="Calibri" w:eastAsia="宋体" w:cs="Calibri"/>
                <w:color w:val="auto"/>
                <w:kern w:val="0"/>
                <w:sz w:val="20"/>
                <w:szCs w:val="20"/>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ascii="等线" w:hAnsi="等线" w:eastAsia="等线" w:cs="Times New Roman"/>
                <w:color w:val="auto"/>
                <w:kern w:val="2"/>
                <w:sz w:val="21"/>
                <w:szCs w:val="22"/>
                <w:lang w:val="en-US" w:eastAsia="zh-CN" w:bidi="ar-SA"/>
              </w:rPr>
            </w:pPr>
            <w:r>
              <w:rPr>
                <w:rFonts w:hint="eastAsia" w:ascii="Calibri" w:hAnsi="Calibri" w:eastAsia="宋体" w:cs="Calibri"/>
                <w:color w:val="auto"/>
                <w:kern w:val="0"/>
                <w:sz w:val="20"/>
                <w:szCs w:val="20"/>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ascii="等线" w:hAnsi="等线" w:eastAsia="等线" w:cs="Times New Roman"/>
                <w:color w:val="auto"/>
                <w:kern w:val="2"/>
                <w:sz w:val="21"/>
                <w:szCs w:val="22"/>
                <w:lang w:val="en-US" w:eastAsia="zh-CN" w:bidi="ar-SA"/>
              </w:rPr>
            </w:pPr>
            <w:r>
              <w:rPr>
                <w:rFonts w:hint="eastAsia" w:ascii="Calibri" w:hAnsi="Calibri" w:eastAsia="宋体" w:cs="Calibri"/>
                <w:color w:val="auto"/>
                <w:kern w:val="0"/>
                <w:sz w:val="20"/>
                <w:szCs w:val="20"/>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ascii="等线" w:hAnsi="等线" w:eastAsia="等线" w:cs="Times New Roman"/>
                <w:color w:val="auto"/>
                <w:kern w:val="2"/>
                <w:sz w:val="21"/>
                <w:szCs w:val="22"/>
                <w:lang w:val="en-US" w:eastAsia="zh-CN" w:bidi="ar-SA"/>
              </w:rPr>
            </w:pPr>
            <w:r>
              <w:rPr>
                <w:rFonts w:hint="eastAsia" w:ascii="Calibri" w:hAnsi="Calibri" w:eastAsia="宋体" w:cs="Calibri"/>
                <w:color w:val="auto"/>
                <w:kern w:val="0"/>
                <w:sz w:val="20"/>
                <w:szCs w:val="20"/>
                <w:lang w:val="en-US" w:eastAsia="zh-CN"/>
              </w:rPr>
              <w:t>0</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ascii="等线" w:hAnsi="等线" w:eastAsia="等线" w:cs="Times New Roman"/>
                <w:color w:val="auto"/>
                <w:kern w:val="2"/>
                <w:sz w:val="21"/>
                <w:szCs w:val="22"/>
                <w:lang w:val="en-US" w:eastAsia="zh-CN" w:bidi="ar-SA"/>
              </w:rPr>
            </w:pPr>
            <w:r>
              <w:rPr>
                <w:rFonts w:hint="eastAsia" w:ascii="Calibri" w:hAnsi="Calibri" w:eastAsia="宋体" w:cs="Calibri"/>
                <w:color w:val="auto"/>
                <w:kern w:val="0"/>
                <w:sz w:val="20"/>
                <w:szCs w:val="20"/>
                <w:lang w:val="en-US" w:eastAsia="zh-CN"/>
              </w:rPr>
              <w:t>0</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ascii="等线" w:hAnsi="等线" w:eastAsia="等线" w:cs="Times New Roman"/>
                <w:color w:val="auto"/>
                <w:kern w:val="2"/>
                <w:sz w:val="21"/>
                <w:szCs w:val="22"/>
                <w:lang w:val="en-US" w:eastAsia="zh-CN" w:bidi="ar-SA"/>
              </w:rPr>
            </w:pPr>
            <w:r>
              <w:rPr>
                <w:rFonts w:hint="eastAsia" w:ascii="Calibri" w:hAnsi="Calibri" w:eastAsia="宋体" w:cs="Calibri"/>
                <w:color w:val="auto"/>
                <w:kern w:val="0"/>
                <w:sz w:val="20"/>
                <w:szCs w:val="20"/>
                <w:lang w:val="en-US" w:eastAsia="zh-CN"/>
              </w:rPr>
              <w:t>0</w:t>
            </w:r>
          </w:p>
        </w:tc>
      </w:tr>
    </w:tbl>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一年来，</w:t>
      </w:r>
      <w:r>
        <w:rPr>
          <w:rFonts w:hint="default" w:ascii="Times New Roman" w:hAnsi="Times New Roman" w:eastAsia="仿宋_GB2312" w:cs="Times New Roman"/>
          <w:color w:val="auto"/>
          <w:sz w:val="32"/>
          <w:szCs w:val="32"/>
          <w:lang w:val="en-US" w:eastAsia="zh-CN"/>
        </w:rPr>
        <w:t>杨舍镇政府信息公开</w:t>
      </w:r>
      <w:r>
        <w:rPr>
          <w:rFonts w:hint="default" w:ascii="Times New Roman" w:hAnsi="Times New Roman" w:eastAsia="仿宋_GB2312" w:cs="Times New Roman"/>
          <w:color w:val="auto"/>
          <w:sz w:val="32"/>
          <w:szCs w:val="32"/>
        </w:rPr>
        <w:t>工作在市政务公开办的关心和支持下，取得了一定的成效，但对照目标要求，仍存在一些需要加强和改进的地方，主要是长效工作机制建设需要进一步完善，公开意识及内容需要进一步深化，工作人员业务技能需要进一步提高。下一步，将切实围绕全市</w:t>
      </w:r>
      <w:r>
        <w:rPr>
          <w:rFonts w:hint="default" w:ascii="Times New Roman" w:hAnsi="Times New Roman" w:eastAsia="仿宋_GB2312" w:cs="Times New Roman"/>
          <w:color w:val="auto"/>
          <w:sz w:val="32"/>
          <w:szCs w:val="32"/>
          <w:lang w:val="en-US" w:eastAsia="zh-CN"/>
        </w:rPr>
        <w:t>政务信息公开</w:t>
      </w:r>
      <w:r>
        <w:rPr>
          <w:rFonts w:hint="default" w:ascii="Times New Roman" w:hAnsi="Times New Roman" w:eastAsia="仿宋_GB2312" w:cs="Times New Roman"/>
          <w:color w:val="auto"/>
          <w:sz w:val="32"/>
          <w:szCs w:val="32"/>
        </w:rPr>
        <w:t>工作部署，坚持突出重点、找准亮点，全面推进</w:t>
      </w:r>
      <w:r>
        <w:rPr>
          <w:rFonts w:hint="default" w:ascii="Times New Roman" w:hAnsi="Times New Roman" w:eastAsia="仿宋_GB2312" w:cs="Times New Roman"/>
          <w:color w:val="auto"/>
          <w:sz w:val="32"/>
          <w:szCs w:val="32"/>
          <w:lang w:val="en-US" w:eastAsia="zh-CN"/>
        </w:rPr>
        <w:t>政务信息公开</w:t>
      </w:r>
      <w:r>
        <w:rPr>
          <w:rFonts w:hint="default" w:ascii="Times New Roman" w:hAnsi="Times New Roman" w:eastAsia="仿宋_GB2312" w:cs="Times New Roman"/>
          <w:color w:val="auto"/>
          <w:sz w:val="32"/>
          <w:szCs w:val="32"/>
        </w:rPr>
        <w:t>各项工作，不断提升</w:t>
      </w:r>
      <w:r>
        <w:rPr>
          <w:rFonts w:hint="default" w:ascii="Times New Roman" w:hAnsi="Times New Roman" w:eastAsia="仿宋_GB2312" w:cs="Times New Roman"/>
          <w:color w:val="auto"/>
          <w:sz w:val="32"/>
          <w:szCs w:val="32"/>
          <w:lang w:val="en-US" w:eastAsia="zh-CN"/>
        </w:rPr>
        <w:t>公开</w:t>
      </w:r>
      <w:r>
        <w:rPr>
          <w:rFonts w:hint="default" w:ascii="Times New Roman" w:hAnsi="Times New Roman" w:eastAsia="仿宋_GB2312" w:cs="Times New Roman"/>
          <w:color w:val="auto"/>
          <w:sz w:val="32"/>
          <w:szCs w:val="32"/>
        </w:rPr>
        <w:t>能力和水平。</w:t>
      </w:r>
    </w:p>
    <w:p>
      <w:pPr>
        <w:keepNext w:val="0"/>
        <w:keepLines w:val="0"/>
        <w:pageBreakBefore w:val="0"/>
        <w:widowControl w:val="0"/>
        <w:kinsoku/>
        <w:wordWrap/>
        <w:overflowPunct/>
        <w:topLinePunct w:val="0"/>
        <w:autoSpaceDE/>
        <w:autoSpaceDN/>
        <w:bidi w:val="0"/>
        <w:adjustRightInd/>
        <w:snapToGrid/>
        <w:spacing w:line="490" w:lineRule="exact"/>
        <w:ind w:firstLine="600" w:firstLineChars="200"/>
        <w:textAlignment w:val="auto"/>
        <w:outlineLvl w:val="9"/>
        <w:rPr>
          <w:rFonts w:hint="default" w:ascii="Times New Roman" w:hAnsi="Times New Roman" w:eastAsia="黑体" w:cs="Times New Roman"/>
          <w:b w:val="0"/>
          <w:bCs/>
          <w:color w:val="auto"/>
          <w:sz w:val="30"/>
          <w:szCs w:val="30"/>
          <w:shd w:val="clear" w:color="auto" w:fill="FFFFFF"/>
        </w:rPr>
      </w:pPr>
      <w:r>
        <w:rPr>
          <w:rFonts w:hint="default" w:ascii="Times New Roman" w:hAnsi="Times New Roman" w:eastAsia="黑体" w:cs="Times New Roman"/>
          <w:b w:val="0"/>
          <w:bCs/>
          <w:color w:val="auto"/>
          <w:sz w:val="30"/>
          <w:szCs w:val="30"/>
          <w:shd w:val="clear" w:color="auto" w:fill="FFFFFF"/>
        </w:rPr>
        <w:t>六、其他需要报告的事项</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2020年度涉及市政协十二届四次会议第140号、213号、230号提案均已办结。</w:t>
      </w:r>
      <w:r>
        <w:rPr>
          <w:rFonts w:hint="default" w:ascii="Times New Roman" w:hAnsi="Times New Roman" w:eastAsia="仿宋_GB2312" w:cs="Times New Roman"/>
          <w:color w:val="auto"/>
          <w:sz w:val="32"/>
          <w:szCs w:val="32"/>
        </w:rPr>
        <w:t>　　　　　　　　　　　　　　</w:t>
      </w:r>
    </w:p>
    <w:sectPr>
      <w:footerReference r:id="rId3" w:type="default"/>
      <w:pgSz w:w="11906" w:h="16838"/>
      <w:pgMar w:top="1440" w:right="1633" w:bottom="1440" w:left="1689"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6pt;height:18.2pt;width:37.35pt;mso-position-horizontal:outside;mso-position-horizontal-relative:margin;z-index:251658240;mso-width-relative:page;mso-height-relative:page;" filled="f" stroked="f" coordsize="21600,21600">
          <v:path/>
          <v:fill on="f" focussize="0,0"/>
          <v:stroke on="f"/>
          <v:imagedata o:title=""/>
          <o:lock v:ext="edit" aspectratio="f"/>
          <v:textbox inset="0mm,0mm,0mm,0mm">
            <w:txbxContent>
              <w:p>
                <w:pPr>
                  <w:pStyle w:val="3"/>
                  <w:rPr>
                    <w:rFonts w:hint="default" w:ascii="Times New Roman" w:hAnsi="Times New Roman" w:eastAsia="等线" w:cs="Times New Roman"/>
                    <w:sz w:val="32"/>
                    <w:szCs w:val="32"/>
                    <w:lang w:eastAsia="zh-CN"/>
                  </w:rPr>
                </w:pP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1</w:t>
                </w:r>
                <w:r>
                  <w:rPr>
                    <w:rFonts w:hint="default" w:ascii="Times New Roman" w:hAnsi="Times New Roman" w:cs="Times New Roman"/>
                    <w:sz w:val="32"/>
                    <w:szCs w:val="32"/>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1AA6417"/>
    <w:rsid w:val="00135CA9"/>
    <w:rsid w:val="001439D6"/>
    <w:rsid w:val="001536D1"/>
    <w:rsid w:val="001629D9"/>
    <w:rsid w:val="001A25EC"/>
    <w:rsid w:val="002237CD"/>
    <w:rsid w:val="00286B68"/>
    <w:rsid w:val="0031655F"/>
    <w:rsid w:val="003A7787"/>
    <w:rsid w:val="003C47AF"/>
    <w:rsid w:val="003E55EF"/>
    <w:rsid w:val="00403350"/>
    <w:rsid w:val="0041461D"/>
    <w:rsid w:val="0049003C"/>
    <w:rsid w:val="005458B8"/>
    <w:rsid w:val="005779F0"/>
    <w:rsid w:val="00590FC5"/>
    <w:rsid w:val="0059264F"/>
    <w:rsid w:val="00642E6D"/>
    <w:rsid w:val="0066354B"/>
    <w:rsid w:val="00765C50"/>
    <w:rsid w:val="007C6860"/>
    <w:rsid w:val="008A1BCF"/>
    <w:rsid w:val="00B0188C"/>
    <w:rsid w:val="00D0770C"/>
    <w:rsid w:val="00DF70C4"/>
    <w:rsid w:val="00EC5E41"/>
    <w:rsid w:val="00EE5AF9"/>
    <w:rsid w:val="00F95FB9"/>
    <w:rsid w:val="00FB4772"/>
    <w:rsid w:val="00FD5C4E"/>
    <w:rsid w:val="02914854"/>
    <w:rsid w:val="03862F03"/>
    <w:rsid w:val="03FF2FFA"/>
    <w:rsid w:val="05A47BC9"/>
    <w:rsid w:val="06B10369"/>
    <w:rsid w:val="08F545B7"/>
    <w:rsid w:val="094B40EB"/>
    <w:rsid w:val="0BD873EB"/>
    <w:rsid w:val="0C293DC2"/>
    <w:rsid w:val="0C344687"/>
    <w:rsid w:val="0C573DA4"/>
    <w:rsid w:val="0CFD67CC"/>
    <w:rsid w:val="0DBA393C"/>
    <w:rsid w:val="0F977D40"/>
    <w:rsid w:val="0FF5230B"/>
    <w:rsid w:val="10867847"/>
    <w:rsid w:val="10E27136"/>
    <w:rsid w:val="1155736B"/>
    <w:rsid w:val="11AA6417"/>
    <w:rsid w:val="1264393C"/>
    <w:rsid w:val="12A567B2"/>
    <w:rsid w:val="137F0357"/>
    <w:rsid w:val="140970E3"/>
    <w:rsid w:val="14924034"/>
    <w:rsid w:val="1583442B"/>
    <w:rsid w:val="158C10B0"/>
    <w:rsid w:val="16277244"/>
    <w:rsid w:val="17F547A3"/>
    <w:rsid w:val="18997DD3"/>
    <w:rsid w:val="19606967"/>
    <w:rsid w:val="1A9B2C72"/>
    <w:rsid w:val="1B0B2078"/>
    <w:rsid w:val="1B21193E"/>
    <w:rsid w:val="1B872865"/>
    <w:rsid w:val="1BB458C6"/>
    <w:rsid w:val="20173559"/>
    <w:rsid w:val="20D56111"/>
    <w:rsid w:val="213E1FB9"/>
    <w:rsid w:val="237424BD"/>
    <w:rsid w:val="243B275B"/>
    <w:rsid w:val="243F6BCC"/>
    <w:rsid w:val="24EC5DC5"/>
    <w:rsid w:val="24FB7580"/>
    <w:rsid w:val="251E68E7"/>
    <w:rsid w:val="2661720B"/>
    <w:rsid w:val="272908C6"/>
    <w:rsid w:val="28732044"/>
    <w:rsid w:val="288F5307"/>
    <w:rsid w:val="293038CA"/>
    <w:rsid w:val="2B5F12A1"/>
    <w:rsid w:val="2CF37A75"/>
    <w:rsid w:val="2D1F24F9"/>
    <w:rsid w:val="2DCC1225"/>
    <w:rsid w:val="2DEB2E3D"/>
    <w:rsid w:val="2EFC29F6"/>
    <w:rsid w:val="30084663"/>
    <w:rsid w:val="324D5564"/>
    <w:rsid w:val="33AE66B2"/>
    <w:rsid w:val="346D6D1C"/>
    <w:rsid w:val="346F3B1F"/>
    <w:rsid w:val="35342215"/>
    <w:rsid w:val="36CB4E7A"/>
    <w:rsid w:val="389600E6"/>
    <w:rsid w:val="39571117"/>
    <w:rsid w:val="3A222348"/>
    <w:rsid w:val="3A553486"/>
    <w:rsid w:val="3CF85A79"/>
    <w:rsid w:val="3DF352DE"/>
    <w:rsid w:val="40D33299"/>
    <w:rsid w:val="40E31BBE"/>
    <w:rsid w:val="4102229A"/>
    <w:rsid w:val="410663A0"/>
    <w:rsid w:val="41872DA1"/>
    <w:rsid w:val="41C602CB"/>
    <w:rsid w:val="42286B6C"/>
    <w:rsid w:val="439142E6"/>
    <w:rsid w:val="456842DA"/>
    <w:rsid w:val="45A4024C"/>
    <w:rsid w:val="45FD062F"/>
    <w:rsid w:val="46892A49"/>
    <w:rsid w:val="479E12C3"/>
    <w:rsid w:val="48240CF3"/>
    <w:rsid w:val="4898333E"/>
    <w:rsid w:val="48D52A63"/>
    <w:rsid w:val="49250CA4"/>
    <w:rsid w:val="493A50D9"/>
    <w:rsid w:val="4B27214D"/>
    <w:rsid w:val="4C0423D9"/>
    <w:rsid w:val="4CD75D5C"/>
    <w:rsid w:val="4F477A33"/>
    <w:rsid w:val="4F8F09C9"/>
    <w:rsid w:val="51040517"/>
    <w:rsid w:val="512E748F"/>
    <w:rsid w:val="513F71D2"/>
    <w:rsid w:val="53201982"/>
    <w:rsid w:val="55D63CFE"/>
    <w:rsid w:val="561F597E"/>
    <w:rsid w:val="56A04BB8"/>
    <w:rsid w:val="572D1692"/>
    <w:rsid w:val="58F107D6"/>
    <w:rsid w:val="5A411E3E"/>
    <w:rsid w:val="5CFF20A6"/>
    <w:rsid w:val="5D9176C3"/>
    <w:rsid w:val="5D9421A9"/>
    <w:rsid w:val="5E6A29E0"/>
    <w:rsid w:val="5E9F7824"/>
    <w:rsid w:val="5FE169C4"/>
    <w:rsid w:val="62C90903"/>
    <w:rsid w:val="63294977"/>
    <w:rsid w:val="63A016A3"/>
    <w:rsid w:val="652979E0"/>
    <w:rsid w:val="65820406"/>
    <w:rsid w:val="675B1995"/>
    <w:rsid w:val="6B261851"/>
    <w:rsid w:val="6B493DD7"/>
    <w:rsid w:val="6BFB0E24"/>
    <w:rsid w:val="6E3B011F"/>
    <w:rsid w:val="6EC402DC"/>
    <w:rsid w:val="708A4F43"/>
    <w:rsid w:val="709A5122"/>
    <w:rsid w:val="71E10FEB"/>
    <w:rsid w:val="72083261"/>
    <w:rsid w:val="75521F40"/>
    <w:rsid w:val="77FE23EC"/>
    <w:rsid w:val="78473FA7"/>
    <w:rsid w:val="79027A3B"/>
    <w:rsid w:val="79DA58D7"/>
    <w:rsid w:val="7A010FE5"/>
    <w:rsid w:val="7AD31F8A"/>
    <w:rsid w:val="7BB0565C"/>
    <w:rsid w:val="7C592F05"/>
    <w:rsid w:val="7CAF5D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List Paragraph"/>
    <w:basedOn w:val="1"/>
    <w:qFormat/>
    <w:uiPriority w:val="34"/>
    <w:pPr>
      <w:ind w:firstLine="420" w:firstLineChars="200"/>
    </w:pPr>
  </w:style>
  <w:style w:type="character" w:customStyle="1" w:styleId="9">
    <w:name w:val="页脚 Char"/>
    <w:basedOn w:val="7"/>
    <w:link w:val="3"/>
    <w:qFormat/>
    <w:uiPriority w:val="99"/>
    <w:rPr>
      <w:sz w:val="18"/>
      <w:szCs w:val="18"/>
    </w:rPr>
  </w:style>
  <w:style w:type="character" w:customStyle="1" w:styleId="10">
    <w:name w:val="页眉 Char"/>
    <w:basedOn w:val="7"/>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33606;&#38376;&#24066;&#25919;&#21153;&#20844;&#24320;&#39046;&#23548;&#23567;&#32452;&#21150;&#20844;&#23460;&#20989;&#22836;.wpt" TargetMode="External"/></Relationships>
</file>

<file path=word/theme/theme1.xml><?xml version="1.0" encoding="utf-8"?>
<a:theme xmlns:a="http://schemas.openxmlformats.org/drawingml/2006/main" name="Offic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荆门市政务公开领导小组办公室函头.wpt</Template>
  <Company>Micorosoft</Company>
  <Pages>15</Pages>
  <Words>1032</Words>
  <Characters>5889</Characters>
  <Lines>49</Lines>
  <Paragraphs>13</Paragraphs>
  <TotalTime>20</TotalTime>
  <ScaleCrop>false</ScaleCrop>
  <LinksUpToDate>false</LinksUpToDate>
  <CharactersWithSpaces>6908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2019-12-17T01:29:00Z</dcterms:created>
  <dc:creator>Administrator</dc:creator>
  <cp:lastModifiedBy>ZhangXu</cp:lastModifiedBy>
  <cp:lastPrinted>2020-01-16T08:03:00Z</cp:lastPrinted>
  <dcterms:modified xsi:type="dcterms:W3CDTF">2021-01-19T03:26:05Z</dcterms:modified>
  <dc:title>7月荆门市政府网站集约化建设情况汇报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