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宋体" w:hAnsi="宋体"/>
          <w:b/>
          <w:sz w:val="44"/>
          <w:szCs w:val="44"/>
        </w:rPr>
      </w:pPr>
      <w:r>
        <w:rPr>
          <w:rFonts w:hint="eastAsia" w:ascii="宋体" w:hAnsi="宋体"/>
          <w:b/>
          <w:sz w:val="44"/>
          <w:szCs w:val="44"/>
        </w:rPr>
        <w:t xml:space="preserve"> </w:t>
      </w:r>
      <w:r>
        <w:rPr>
          <w:rFonts w:ascii="宋体" w:hAnsi="宋体"/>
          <w:b/>
          <w:sz w:val="44"/>
          <w:szCs w:val="44"/>
        </w:rPr>
        <w:t>20</w:t>
      </w:r>
      <w:r>
        <w:rPr>
          <w:rFonts w:hint="eastAsia" w:ascii="宋体" w:hAnsi="宋体"/>
          <w:b/>
          <w:sz w:val="44"/>
          <w:szCs w:val="44"/>
        </w:rPr>
        <w:t>2</w:t>
      </w:r>
      <w:r>
        <w:rPr>
          <w:rFonts w:hint="eastAsia" w:ascii="宋体" w:hAnsi="宋体"/>
          <w:b/>
          <w:sz w:val="44"/>
          <w:szCs w:val="44"/>
          <w:lang w:val="en-US" w:eastAsia="zh-CN"/>
        </w:rPr>
        <w:t>2</w:t>
      </w:r>
      <w:r>
        <w:rPr>
          <w:rFonts w:ascii="宋体" w:hAnsi="宋体"/>
          <w:b/>
          <w:sz w:val="44"/>
          <w:szCs w:val="44"/>
        </w:rPr>
        <w:t>年第</w:t>
      </w:r>
      <w:r>
        <w:rPr>
          <w:rFonts w:hint="eastAsia" w:ascii="宋体" w:hAnsi="宋体"/>
          <w:b/>
          <w:sz w:val="44"/>
          <w:szCs w:val="44"/>
          <w:lang w:eastAsia="zh-CN"/>
        </w:rPr>
        <w:t>一</w:t>
      </w:r>
      <w:r>
        <w:rPr>
          <w:rFonts w:ascii="宋体" w:hAnsi="宋体"/>
          <w:b/>
          <w:sz w:val="44"/>
          <w:szCs w:val="44"/>
        </w:rPr>
        <w:t>季度</w:t>
      </w:r>
      <w:r>
        <w:rPr>
          <w:rFonts w:hint="eastAsia" w:ascii="宋体" w:hAnsi="宋体"/>
          <w:b/>
          <w:sz w:val="44"/>
          <w:szCs w:val="44"/>
        </w:rPr>
        <w:t>张家港市人力资源</w:t>
      </w:r>
    </w:p>
    <w:p>
      <w:pPr>
        <w:adjustRightInd w:val="0"/>
        <w:snapToGrid w:val="0"/>
        <w:jc w:val="center"/>
        <w:rPr>
          <w:rFonts w:ascii="宋体" w:hAnsi="宋体"/>
          <w:b/>
          <w:sz w:val="44"/>
          <w:szCs w:val="44"/>
        </w:rPr>
      </w:pPr>
      <w:r>
        <w:rPr>
          <w:rFonts w:ascii="宋体" w:hAnsi="宋体"/>
          <w:b/>
          <w:sz w:val="44"/>
          <w:szCs w:val="44"/>
        </w:rPr>
        <w:t>市场供求状况分析</w:t>
      </w:r>
    </w:p>
    <w:p>
      <w:pPr>
        <w:adjustRightInd w:val="0"/>
        <w:snapToGrid w:val="0"/>
        <w:spacing w:line="360" w:lineRule="auto"/>
        <w:jc w:val="center"/>
        <w:rPr>
          <w:rFonts w:ascii="宋体" w:hAnsi="宋体"/>
          <w:sz w:val="24"/>
        </w:rPr>
      </w:pPr>
    </w:p>
    <w:p>
      <w:pPr>
        <w:adjustRightInd w:val="0"/>
        <w:snapToGrid w:val="0"/>
        <w:spacing w:line="360" w:lineRule="auto"/>
        <w:jc w:val="center"/>
        <w:rPr>
          <w:rFonts w:ascii="宋体" w:hAnsi="宋体"/>
          <w:sz w:val="24"/>
        </w:rPr>
      </w:pPr>
      <w:r>
        <w:rPr>
          <w:rFonts w:hint="eastAsia" w:ascii="宋体" w:hAnsi="宋体"/>
          <w:sz w:val="24"/>
        </w:rPr>
        <w:t>张家港市人力资源管理服务中心</w:t>
      </w:r>
    </w:p>
    <w:p>
      <w:pPr>
        <w:widowControl/>
        <w:spacing w:before="100" w:beforeAutospacing="1" w:after="100" w:afterAutospacing="1" w:line="360" w:lineRule="auto"/>
        <w:jc w:val="left"/>
        <w:rPr>
          <w:rFonts w:ascii="宋体" w:hAnsi="宋体" w:cs="宋体"/>
          <w:b/>
          <w:bCs/>
          <w:kern w:val="0"/>
          <w:sz w:val="30"/>
          <w:szCs w:val="30"/>
        </w:rPr>
      </w:pPr>
      <w:r>
        <w:rPr>
          <w:rFonts w:hint="eastAsia" w:ascii="宋体" w:hAnsi="宋体" w:cs="宋体"/>
          <w:b/>
          <w:bCs/>
          <w:kern w:val="0"/>
          <w:sz w:val="30"/>
          <w:szCs w:val="30"/>
        </w:rPr>
        <w:t>一、人力资源市</w:t>
      </w:r>
      <w:bookmarkStart w:id="0" w:name="_GoBack"/>
      <w:bookmarkEnd w:id="0"/>
      <w:r>
        <w:rPr>
          <w:rFonts w:hint="eastAsia" w:ascii="宋体" w:hAnsi="宋体" w:cs="宋体"/>
          <w:b/>
          <w:bCs/>
          <w:kern w:val="0"/>
          <w:sz w:val="30"/>
          <w:szCs w:val="30"/>
        </w:rPr>
        <w:t>场总体数据概况</w:t>
      </w:r>
    </w:p>
    <w:p>
      <w:pPr>
        <w:widowControl/>
        <w:spacing w:before="100" w:beforeAutospacing="1" w:after="100" w:afterAutospacing="1" w:line="360" w:lineRule="auto"/>
        <w:ind w:firstLine="420" w:firstLineChars="200"/>
        <w:jc w:val="left"/>
        <w:rPr>
          <w:rFonts w:ascii="宋体" w:hAnsi="宋体" w:cs="宋体"/>
          <w:b/>
          <w:bCs/>
          <w:kern w:val="0"/>
          <w:sz w:val="30"/>
          <w:szCs w:val="30"/>
        </w:rPr>
      </w:pPr>
      <w:r>
        <w:rPr>
          <w:rFonts w:hint="eastAsia" w:ascii="宋体" w:hAnsi="宋体" w:cs="宋体"/>
          <w:kern w:val="0"/>
          <w:szCs w:val="21"/>
          <w:lang w:eastAsia="zh-CN"/>
        </w:rPr>
        <w:t>今年一季度</w:t>
      </w:r>
      <w:r>
        <w:rPr>
          <w:rFonts w:hint="eastAsia" w:ascii="宋体" w:hAnsi="宋体" w:cs="宋体"/>
          <w:kern w:val="0"/>
          <w:szCs w:val="21"/>
        </w:rPr>
        <w:t>，我市人力资源市场共提供岗位需求</w:t>
      </w:r>
      <w:r>
        <w:rPr>
          <w:rFonts w:hint="eastAsia" w:ascii="宋体" w:hAnsi="宋体" w:cs="宋体"/>
          <w:kern w:val="0"/>
          <w:szCs w:val="21"/>
          <w:lang w:val="en-US" w:eastAsia="zh-CN"/>
        </w:rPr>
        <w:t>49275</w:t>
      </w:r>
      <w:r>
        <w:rPr>
          <w:rFonts w:hint="eastAsia" w:ascii="宋体" w:hAnsi="宋体" w:cs="宋体"/>
          <w:kern w:val="0"/>
          <w:szCs w:val="21"/>
        </w:rPr>
        <w:t>个次，求职者</w:t>
      </w:r>
      <w:r>
        <w:rPr>
          <w:rFonts w:hint="eastAsia" w:ascii="宋体" w:hAnsi="宋体" w:cs="宋体"/>
          <w:kern w:val="0"/>
          <w:szCs w:val="21"/>
          <w:lang w:val="en-US" w:eastAsia="zh-CN"/>
        </w:rPr>
        <w:t>38846</w:t>
      </w:r>
      <w:r>
        <w:rPr>
          <w:rFonts w:hint="eastAsia" w:ascii="宋体" w:hAnsi="宋体" w:cs="宋体"/>
          <w:kern w:val="0"/>
          <w:szCs w:val="21"/>
        </w:rPr>
        <w:t>人次，求人倍率约为1.2</w:t>
      </w:r>
      <w:r>
        <w:rPr>
          <w:rFonts w:hint="eastAsia" w:ascii="宋体" w:hAnsi="宋体" w:cs="宋体"/>
          <w:kern w:val="0"/>
          <w:szCs w:val="21"/>
          <w:lang w:val="en-US" w:eastAsia="zh-CN"/>
        </w:rPr>
        <w:t>7</w:t>
      </w:r>
      <w:r>
        <w:rPr>
          <w:rFonts w:hint="eastAsia" w:ascii="宋体" w:hAnsi="宋体" w:cs="宋体"/>
          <w:kern w:val="0"/>
          <w:szCs w:val="21"/>
        </w:rPr>
        <w:t>，</w:t>
      </w:r>
      <w:r>
        <w:rPr>
          <w:rFonts w:hint="eastAsia" w:ascii="宋体" w:hAnsi="宋体" w:cs="宋体"/>
          <w:kern w:val="0"/>
          <w:szCs w:val="21"/>
          <w:lang w:eastAsia="zh-CN"/>
        </w:rPr>
        <w:t>受今年疫情影响</w:t>
      </w:r>
      <w:r>
        <w:rPr>
          <w:rFonts w:hint="eastAsia" w:ascii="宋体" w:hAnsi="宋体" w:cs="宋体"/>
          <w:kern w:val="0"/>
          <w:szCs w:val="21"/>
        </w:rPr>
        <w:t>求人倍率较202</w:t>
      </w:r>
      <w:r>
        <w:rPr>
          <w:rFonts w:hint="eastAsia" w:ascii="宋体" w:hAnsi="宋体" w:cs="宋体"/>
          <w:kern w:val="0"/>
          <w:szCs w:val="21"/>
          <w:lang w:val="en-US" w:eastAsia="zh-CN"/>
        </w:rPr>
        <w:t>1</w:t>
      </w:r>
      <w:r>
        <w:rPr>
          <w:rFonts w:hint="eastAsia" w:ascii="宋体" w:hAnsi="宋体" w:cs="宋体"/>
          <w:kern w:val="0"/>
          <w:szCs w:val="21"/>
        </w:rPr>
        <w:t>年同期</w:t>
      </w:r>
      <w:r>
        <w:rPr>
          <w:rFonts w:hint="eastAsia" w:ascii="宋体" w:hAnsi="宋体" w:cs="宋体"/>
          <w:kern w:val="0"/>
          <w:szCs w:val="21"/>
          <w:lang w:eastAsia="zh-CN"/>
        </w:rPr>
        <w:t>略有上升</w:t>
      </w:r>
      <w:r>
        <w:rPr>
          <w:rFonts w:hint="eastAsia" w:ascii="宋体" w:hAnsi="宋体" w:cs="宋体"/>
          <w:kern w:val="0"/>
          <w:szCs w:val="21"/>
        </w:rPr>
        <w:t>，</w:t>
      </w:r>
      <w:r>
        <w:rPr>
          <w:rFonts w:hint="eastAsia" w:ascii="宋体" w:hAnsi="宋体" w:cs="宋体"/>
          <w:kern w:val="0"/>
          <w:szCs w:val="21"/>
          <w:lang w:eastAsia="zh-CN"/>
        </w:rPr>
        <w:t>一季度</w:t>
      </w:r>
      <w:r>
        <w:rPr>
          <w:rFonts w:hint="eastAsia" w:ascii="宋体" w:hAnsi="宋体" w:cs="宋体"/>
          <w:kern w:val="0"/>
          <w:szCs w:val="21"/>
        </w:rPr>
        <w:t>我市人力资源市场、各镇（区）人力资源市场</w:t>
      </w:r>
      <w:r>
        <w:rPr>
          <w:rFonts w:hint="eastAsia" w:ascii="宋体" w:hAnsi="宋体" w:cs="宋体"/>
          <w:kern w:val="0"/>
          <w:szCs w:val="21"/>
          <w:lang w:eastAsia="zh-CN"/>
        </w:rPr>
        <w:t>受疫情影响以</w:t>
      </w:r>
      <w:r>
        <w:rPr>
          <w:rFonts w:hint="eastAsia" w:ascii="宋体" w:hAnsi="宋体" w:cs="宋体"/>
          <w:kern w:val="0"/>
          <w:szCs w:val="21"/>
        </w:rPr>
        <w:t>线</w:t>
      </w:r>
      <w:r>
        <w:rPr>
          <w:rFonts w:hint="eastAsia" w:ascii="宋体" w:hAnsi="宋体" w:cs="宋体"/>
          <w:kern w:val="0"/>
          <w:szCs w:val="21"/>
          <w:lang w:eastAsia="zh-CN"/>
        </w:rPr>
        <w:t>上</w:t>
      </w:r>
      <w:r>
        <w:rPr>
          <w:rFonts w:hint="eastAsia" w:ascii="宋体" w:hAnsi="宋体" w:cs="宋体"/>
          <w:kern w:val="0"/>
          <w:szCs w:val="21"/>
        </w:rPr>
        <w:t>招聘</w:t>
      </w:r>
      <w:r>
        <w:rPr>
          <w:rFonts w:hint="eastAsia" w:ascii="宋体" w:hAnsi="宋体" w:cs="宋体"/>
          <w:kern w:val="0"/>
          <w:szCs w:val="21"/>
          <w:lang w:eastAsia="zh-CN"/>
        </w:rPr>
        <w:t>为主</w:t>
      </w:r>
      <w:r>
        <w:rPr>
          <w:rFonts w:hint="eastAsia" w:ascii="宋体" w:hAnsi="宋体" w:cs="宋体"/>
          <w:kern w:val="0"/>
          <w:szCs w:val="21"/>
        </w:rPr>
        <w:t>，本期数据主要来源于全市</w:t>
      </w:r>
      <w:r>
        <w:rPr>
          <w:rFonts w:hint="eastAsia" w:ascii="宋体" w:hAnsi="宋体" w:cs="宋体"/>
          <w:kern w:val="0"/>
          <w:szCs w:val="21"/>
          <w:lang w:eastAsia="zh-CN"/>
        </w:rPr>
        <w:t>线上</w:t>
      </w:r>
      <w:r>
        <w:rPr>
          <w:rFonts w:hint="eastAsia" w:ascii="宋体" w:hAnsi="宋体" w:cs="宋体"/>
          <w:kern w:val="0"/>
          <w:szCs w:val="21"/>
        </w:rPr>
        <w:t>招聘会以及张家港市人才网站采集的供求状况信息，均为有效数据。</w:t>
      </w:r>
    </w:p>
    <w:p>
      <w:pPr>
        <w:widowControl/>
        <w:spacing w:before="100" w:beforeAutospacing="1" w:after="100" w:afterAutospacing="1" w:line="360" w:lineRule="auto"/>
        <w:jc w:val="left"/>
        <w:rPr>
          <w:rFonts w:ascii="宋体" w:hAnsi="宋体"/>
          <w:b/>
          <w:sz w:val="30"/>
          <w:szCs w:val="30"/>
        </w:rPr>
      </w:pPr>
      <w:r>
        <w:rPr>
          <w:rFonts w:hint="eastAsia" w:ascii="宋体" w:hAnsi="宋体"/>
          <w:b/>
          <w:sz w:val="30"/>
          <w:szCs w:val="30"/>
        </w:rPr>
        <w:t>二</w:t>
      </w:r>
      <w:r>
        <w:rPr>
          <w:rFonts w:ascii="宋体" w:hAnsi="宋体"/>
          <w:b/>
          <w:sz w:val="30"/>
          <w:szCs w:val="30"/>
        </w:rPr>
        <w:t>、供求总体情况</w:t>
      </w:r>
    </w:p>
    <w:p>
      <w:pPr>
        <w:spacing w:line="360" w:lineRule="auto"/>
        <w:rPr>
          <w:rFonts w:ascii="宋体" w:hAnsi="宋体" w:cs="宋体"/>
          <w:color w:val="FF0000"/>
          <w:kern w:val="0"/>
          <w:szCs w:val="21"/>
        </w:rPr>
      </w:pPr>
      <w:r>
        <w:rPr>
          <w:rFonts w:hint="eastAsia" w:ascii="宋体" w:hAnsi="宋体" w:cs="宋体"/>
          <w:b/>
          <w:kern w:val="0"/>
          <w:szCs w:val="21"/>
        </w:rPr>
        <w:t>（一）供求总体状况：</w:t>
      </w:r>
      <w:r>
        <w:rPr>
          <w:rFonts w:hint="eastAsia" w:ascii="宋体" w:hAnsi="宋体" w:cs="宋体"/>
          <w:kern w:val="0"/>
          <w:szCs w:val="21"/>
        </w:rPr>
        <w:t>本季度需求人数</w:t>
      </w:r>
      <w:r>
        <w:rPr>
          <w:rFonts w:hint="eastAsia" w:ascii="宋体" w:hAnsi="宋体" w:cs="宋体"/>
          <w:kern w:val="0"/>
          <w:szCs w:val="21"/>
          <w:lang w:val="en-US" w:eastAsia="zh-CN"/>
        </w:rPr>
        <w:t>49275</w:t>
      </w:r>
      <w:r>
        <w:rPr>
          <w:rFonts w:hint="eastAsia" w:ascii="宋体" w:hAnsi="宋体" w:cs="宋体"/>
          <w:kern w:val="0"/>
          <w:szCs w:val="21"/>
        </w:rPr>
        <w:t>人，与去年同期相比增加</w:t>
      </w:r>
      <w:r>
        <w:rPr>
          <w:rFonts w:hint="eastAsia" w:ascii="宋体" w:hAnsi="宋体" w:cs="宋体"/>
          <w:kern w:val="0"/>
          <w:szCs w:val="21"/>
          <w:lang w:val="en-US" w:eastAsia="zh-CN"/>
        </w:rPr>
        <w:t>8124</w:t>
      </w:r>
      <w:r>
        <w:rPr>
          <w:rFonts w:hint="eastAsia" w:ascii="宋体" w:hAnsi="宋体" w:cs="宋体"/>
          <w:kern w:val="0"/>
          <w:szCs w:val="21"/>
        </w:rPr>
        <w:t>人，增幅为</w:t>
      </w:r>
      <w:r>
        <w:rPr>
          <w:rFonts w:hint="eastAsia" w:ascii="宋体" w:hAnsi="宋体" w:cs="宋体"/>
          <w:kern w:val="0"/>
          <w:szCs w:val="21"/>
          <w:lang w:val="en-US" w:eastAsia="zh-CN"/>
        </w:rPr>
        <w:t>16.49</w:t>
      </w:r>
      <w:r>
        <w:rPr>
          <w:rFonts w:hint="eastAsia" w:ascii="宋体" w:hAnsi="宋体" w:cs="宋体"/>
          <w:kern w:val="0"/>
          <w:szCs w:val="21"/>
        </w:rPr>
        <w:t>%。求职人数为</w:t>
      </w:r>
      <w:r>
        <w:rPr>
          <w:rFonts w:hint="eastAsia" w:ascii="宋体" w:hAnsi="宋体" w:cs="宋体"/>
          <w:kern w:val="0"/>
          <w:szCs w:val="21"/>
          <w:lang w:val="en-US" w:eastAsia="zh-CN"/>
        </w:rPr>
        <w:t>38846</w:t>
      </w:r>
      <w:r>
        <w:rPr>
          <w:rFonts w:hint="eastAsia" w:ascii="宋体" w:hAnsi="宋体" w:cs="宋体"/>
          <w:kern w:val="0"/>
          <w:szCs w:val="21"/>
        </w:rPr>
        <w:t>人，与去年同期相比增加</w:t>
      </w:r>
      <w:r>
        <w:rPr>
          <w:rFonts w:hint="eastAsia" w:ascii="宋体" w:hAnsi="宋体" w:cs="宋体"/>
          <w:kern w:val="0"/>
          <w:szCs w:val="21"/>
          <w:lang w:val="en-US" w:eastAsia="zh-CN"/>
        </w:rPr>
        <w:t>5888</w:t>
      </w:r>
      <w:r>
        <w:rPr>
          <w:rFonts w:hint="eastAsia" w:ascii="宋体" w:hAnsi="宋体" w:cs="宋体"/>
          <w:kern w:val="0"/>
          <w:szCs w:val="21"/>
        </w:rPr>
        <w:t>人，增幅为</w:t>
      </w:r>
      <w:r>
        <w:rPr>
          <w:rFonts w:hint="eastAsia" w:ascii="宋体" w:hAnsi="宋体" w:cs="宋体"/>
          <w:kern w:val="0"/>
          <w:szCs w:val="21"/>
          <w:lang w:val="en-US" w:eastAsia="zh-CN"/>
        </w:rPr>
        <w:t>15.16</w:t>
      </w:r>
      <w:r>
        <w:rPr>
          <w:rFonts w:hint="eastAsia" w:ascii="宋体" w:hAnsi="宋体" w:cs="宋体"/>
          <w:kern w:val="0"/>
          <w:szCs w:val="21"/>
        </w:rPr>
        <w:t>%，本季度需求人数和求职人数比去年同期明显上升，本季度因</w:t>
      </w:r>
      <w:r>
        <w:rPr>
          <w:rFonts w:hint="eastAsia" w:ascii="宋体" w:hAnsi="宋体" w:cs="宋体"/>
          <w:kern w:val="0"/>
          <w:szCs w:val="21"/>
          <w:lang w:eastAsia="zh-CN"/>
        </w:rPr>
        <w:t>疫情影响</w:t>
      </w:r>
      <w:r>
        <w:rPr>
          <w:rFonts w:hint="eastAsia" w:ascii="宋体" w:hAnsi="宋体" w:cs="宋体"/>
          <w:kern w:val="0"/>
          <w:szCs w:val="21"/>
        </w:rPr>
        <w:t>主要以线上招聘为主。</w:t>
      </w:r>
    </w:p>
    <w:p>
      <w:pPr>
        <w:adjustRightInd w:val="0"/>
        <w:snapToGrid w:val="0"/>
        <w:spacing w:line="360" w:lineRule="auto"/>
        <w:jc w:val="center"/>
        <w:rPr>
          <w:rFonts w:ascii="宋体" w:hAnsi="宋体"/>
          <w:szCs w:val="21"/>
        </w:rPr>
      </w:pPr>
      <w:r>
        <w:rPr>
          <w:rFonts w:hint="eastAsia" w:ascii="宋体" w:hAnsi="宋体"/>
          <w:szCs w:val="21"/>
        </w:rPr>
        <w:t>表</w:t>
      </w:r>
      <w:r>
        <w:rPr>
          <w:rFonts w:ascii="宋体" w:hAnsi="宋体"/>
          <w:szCs w:val="21"/>
        </w:rPr>
        <w:t>1</w:t>
      </w:r>
      <w:r>
        <w:rPr>
          <w:rFonts w:hint="eastAsia" w:ascii="宋体" w:hAnsi="宋体"/>
          <w:szCs w:val="21"/>
        </w:rPr>
        <w:t>. 供求总体情况</w:t>
      </w:r>
    </w:p>
    <w:tbl>
      <w:tblPr>
        <w:tblStyle w:val="6"/>
        <w:tblW w:w="0" w:type="auto"/>
        <w:jc w:val="center"/>
        <w:tblLayout w:type="autofit"/>
        <w:tblCellMar>
          <w:top w:w="0" w:type="dxa"/>
          <w:left w:w="0" w:type="dxa"/>
          <w:bottom w:w="0" w:type="dxa"/>
          <w:right w:w="0" w:type="dxa"/>
        </w:tblCellMar>
      </w:tblPr>
      <w:tblGrid>
        <w:gridCol w:w="1347"/>
        <w:gridCol w:w="1607"/>
        <w:gridCol w:w="1585"/>
        <w:gridCol w:w="1500"/>
      </w:tblGrid>
      <w:tr>
        <w:tblPrEx>
          <w:tblCellMar>
            <w:top w:w="0" w:type="dxa"/>
            <w:left w:w="0" w:type="dxa"/>
            <w:bottom w:w="0" w:type="dxa"/>
            <w:right w:w="0" w:type="dxa"/>
          </w:tblCellMar>
        </w:tblPrEx>
        <w:trPr>
          <w:trHeight w:val="820" w:hRule="atLeast"/>
          <w:jc w:val="center"/>
        </w:trPr>
        <w:tc>
          <w:tcPr>
            <w:tcW w:w="1347" w:type="dxa"/>
            <w:tcBorders>
              <w:top w:val="single" w:color="auto" w:sz="8" w:space="0"/>
              <w:left w:val="single" w:color="auto" w:sz="8" w:space="0"/>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ind w:firstLine="420"/>
              <w:jc w:val="center"/>
              <w:rPr>
                <w:rFonts w:ascii="宋体" w:hAnsi="宋体" w:cs="宋体"/>
                <w:kern w:val="0"/>
                <w:szCs w:val="21"/>
              </w:rPr>
            </w:pPr>
            <w:r>
              <w:rPr>
                <w:rFonts w:ascii="宋体" w:hAnsi="宋体" w:cs="宋体"/>
                <w:kern w:val="0"/>
                <w:szCs w:val="21"/>
              </w:rPr>
              <w:t> </w:t>
            </w:r>
          </w:p>
        </w:tc>
        <w:tc>
          <w:tcPr>
            <w:tcW w:w="1607" w:type="dxa"/>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本季度需求人数（人）</w:t>
            </w:r>
          </w:p>
        </w:tc>
        <w:tc>
          <w:tcPr>
            <w:tcW w:w="1585" w:type="dxa"/>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本季度求职人数（人）</w:t>
            </w:r>
          </w:p>
        </w:tc>
        <w:tc>
          <w:tcPr>
            <w:tcW w:w="1500" w:type="dxa"/>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本季度求人倍率</w:t>
            </w:r>
          </w:p>
        </w:tc>
      </w:tr>
      <w:tr>
        <w:tblPrEx>
          <w:tblCellMar>
            <w:top w:w="0" w:type="dxa"/>
            <w:left w:w="0" w:type="dxa"/>
            <w:bottom w:w="0" w:type="dxa"/>
            <w:right w:w="0" w:type="dxa"/>
          </w:tblCellMar>
        </w:tblPrEx>
        <w:trPr>
          <w:trHeight w:val="804" w:hRule="atLeast"/>
          <w:jc w:val="center"/>
        </w:trPr>
        <w:tc>
          <w:tcPr>
            <w:tcW w:w="1347" w:type="dxa"/>
            <w:tcBorders>
              <w:top w:val="single" w:color="auto" w:sz="8" w:space="0"/>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本期</w:t>
            </w:r>
          </w:p>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有效数</w:t>
            </w:r>
          </w:p>
        </w:tc>
        <w:tc>
          <w:tcPr>
            <w:tcW w:w="160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jc w:val="center"/>
              <w:rPr>
                <w:rFonts w:hint="default" w:ascii="宋体" w:hAnsi="宋体" w:eastAsia="宋体" w:cs="宋体"/>
                <w:b/>
                <w:bCs/>
                <w:sz w:val="22"/>
                <w:szCs w:val="22"/>
                <w:lang w:val="en-US" w:eastAsia="zh-CN"/>
              </w:rPr>
            </w:pPr>
            <w:r>
              <w:rPr>
                <w:rFonts w:hint="eastAsia"/>
                <w:b/>
                <w:bCs/>
                <w:sz w:val="22"/>
                <w:szCs w:val="22"/>
                <w:lang w:val="en-US" w:eastAsia="zh-CN"/>
              </w:rPr>
              <w:t>49275</w:t>
            </w:r>
          </w:p>
        </w:tc>
        <w:tc>
          <w:tcPr>
            <w:tcW w:w="158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jc w:val="center"/>
              <w:rPr>
                <w:rFonts w:hint="default" w:ascii="宋体" w:hAnsi="宋体" w:eastAsia="宋体" w:cs="宋体"/>
                <w:b/>
                <w:bCs/>
                <w:sz w:val="22"/>
                <w:szCs w:val="22"/>
                <w:lang w:val="en-US" w:eastAsia="zh-CN"/>
              </w:rPr>
            </w:pPr>
            <w:r>
              <w:rPr>
                <w:rFonts w:hint="eastAsia"/>
                <w:b/>
                <w:bCs/>
                <w:sz w:val="22"/>
                <w:szCs w:val="22"/>
                <w:lang w:val="en-US" w:eastAsia="zh-CN"/>
              </w:rPr>
              <w:t>38846</w:t>
            </w:r>
          </w:p>
        </w:tc>
        <w:tc>
          <w:tcPr>
            <w:tcW w:w="15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jc w:val="center"/>
              <w:rPr>
                <w:rFonts w:hint="eastAsia" w:ascii="宋体" w:hAnsi="宋体" w:eastAsia="宋体" w:cs="宋体"/>
                <w:sz w:val="22"/>
                <w:szCs w:val="22"/>
                <w:lang w:val="en-US" w:eastAsia="zh-CN"/>
              </w:rPr>
            </w:pPr>
            <w:r>
              <w:rPr>
                <w:rFonts w:hint="eastAsia"/>
                <w:sz w:val="22"/>
                <w:szCs w:val="22"/>
              </w:rPr>
              <w:t>1.2</w:t>
            </w:r>
            <w:r>
              <w:rPr>
                <w:rFonts w:hint="eastAsia"/>
                <w:sz w:val="22"/>
                <w:szCs w:val="22"/>
                <w:lang w:val="en-US" w:eastAsia="zh-CN"/>
              </w:rPr>
              <w:t>7</w:t>
            </w:r>
          </w:p>
        </w:tc>
      </w:tr>
    </w:tbl>
    <w:p>
      <w:pPr>
        <w:adjustRightInd w:val="0"/>
        <w:snapToGrid w:val="0"/>
        <w:spacing w:line="360" w:lineRule="auto"/>
        <w:rPr>
          <w:rFonts w:ascii="宋体" w:hAnsi="宋体"/>
          <w:color w:val="FF0000"/>
          <w:szCs w:val="21"/>
        </w:rPr>
      </w:pPr>
    </w:p>
    <w:p>
      <w:pPr>
        <w:adjustRightInd w:val="0"/>
        <w:snapToGrid w:val="0"/>
        <w:spacing w:line="360" w:lineRule="auto"/>
        <w:rPr>
          <w:rFonts w:ascii="宋体" w:hAnsi="宋体"/>
          <w:b/>
          <w:szCs w:val="21"/>
        </w:rPr>
      </w:pPr>
      <w:r>
        <w:rPr>
          <w:rFonts w:hint="eastAsia" w:ascii="宋体" w:hAnsi="宋体"/>
          <w:b/>
          <w:szCs w:val="21"/>
        </w:rPr>
        <w:t>（二）</w:t>
      </w:r>
      <w:r>
        <w:rPr>
          <w:rFonts w:ascii="宋体" w:hAnsi="宋体"/>
          <w:b/>
          <w:szCs w:val="21"/>
        </w:rPr>
        <w:t>分</w:t>
      </w:r>
      <w:r>
        <w:rPr>
          <w:rFonts w:hint="eastAsia" w:ascii="宋体" w:hAnsi="宋体"/>
          <w:b/>
          <w:szCs w:val="21"/>
        </w:rPr>
        <w:t>产业、</w:t>
      </w:r>
      <w:r>
        <w:rPr>
          <w:rFonts w:ascii="宋体" w:hAnsi="宋体"/>
          <w:b/>
          <w:szCs w:val="21"/>
        </w:rPr>
        <w:t>行业劳动力需求</w:t>
      </w:r>
    </w:p>
    <w:p>
      <w:pPr>
        <w:spacing w:line="360" w:lineRule="auto"/>
        <w:ind w:firstLine="420" w:firstLineChars="200"/>
        <w:rPr>
          <w:rFonts w:ascii="宋体" w:hAnsi="宋体" w:cs="宋体"/>
          <w:color w:val="FF0000"/>
          <w:kern w:val="0"/>
          <w:szCs w:val="21"/>
        </w:rPr>
      </w:pPr>
      <w:r>
        <w:rPr>
          <w:rFonts w:hint="eastAsia" w:ascii="宋体" w:hAnsi="宋体" w:cs="宋体"/>
          <w:kern w:val="0"/>
          <w:szCs w:val="21"/>
        </w:rPr>
        <w:t>从产业分组情况看，第一产业本季度为</w:t>
      </w:r>
      <w:r>
        <w:rPr>
          <w:rFonts w:ascii="宋体" w:hAnsi="宋体" w:cs="宋体"/>
          <w:kern w:val="0"/>
          <w:szCs w:val="21"/>
        </w:rPr>
        <w:t>0</w:t>
      </w:r>
      <w:r>
        <w:rPr>
          <w:rFonts w:hint="eastAsia" w:ascii="宋体" w:hAnsi="宋体" w:cs="宋体"/>
          <w:kern w:val="0"/>
          <w:szCs w:val="21"/>
        </w:rPr>
        <w:t>；第二产业本季需求数为26809人，占总需求的69.73%，第三产业本季需求数为11985人，占总需求的30.25%。</w:t>
      </w:r>
    </w:p>
    <w:p>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第一产业始终为0，第二产业居人力资源市场需求的主导地位，我市用工需求主要集中在生产性企业中，第三产业比重较三季度略有下降。</w:t>
      </w:r>
    </w:p>
    <w:p>
      <w:pPr>
        <w:adjustRightInd w:val="0"/>
        <w:snapToGrid w:val="0"/>
        <w:spacing w:line="360" w:lineRule="auto"/>
        <w:jc w:val="center"/>
        <w:rPr>
          <w:rFonts w:ascii="宋体" w:hAnsi="宋体"/>
          <w:szCs w:val="21"/>
        </w:rPr>
      </w:pPr>
      <w:r>
        <w:rPr>
          <w:rFonts w:hint="eastAsia" w:ascii="宋体" w:hAnsi="宋体"/>
          <w:szCs w:val="21"/>
        </w:rPr>
        <w:t>表2. 按产业分组的需求人数</w:t>
      </w:r>
    </w:p>
    <w:tbl>
      <w:tblPr>
        <w:tblStyle w:val="6"/>
        <w:tblW w:w="433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398"/>
        <w:gridCol w:w="1466"/>
        <w:gridCol w:w="146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000000"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产业</w:t>
            </w:r>
          </w:p>
        </w:tc>
        <w:tc>
          <w:tcPr>
            <w:tcW w:w="1466" w:type="dxa"/>
            <w:tcBorders>
              <w:top w:val="single" w:color="000000" w:sz="8" w:space="0"/>
              <w:left w:val="nil"/>
              <w:bottom w:val="single" w:color="000000"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本季度需求人数 (人)</w:t>
            </w:r>
          </w:p>
        </w:tc>
        <w:tc>
          <w:tcPr>
            <w:tcW w:w="1466" w:type="dxa"/>
            <w:tcBorders>
              <w:top w:val="single" w:color="000000" w:sz="8" w:space="0"/>
              <w:left w:val="nil"/>
              <w:bottom w:val="single" w:color="000000" w:sz="8" w:space="0"/>
              <w:right w:val="single" w:color="000000"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本季度需求所占比重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第一产业</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0.00%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第二产业</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33732</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68.46%</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第三产业</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15543</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31.54%</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合计</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49275</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100.00%</w:t>
            </w:r>
          </w:p>
        </w:tc>
      </w:tr>
    </w:tbl>
    <w:p>
      <w:pPr>
        <w:adjustRightInd w:val="0"/>
        <w:snapToGrid w:val="0"/>
        <w:spacing w:line="360" w:lineRule="auto"/>
        <w:rPr>
          <w:rFonts w:ascii="宋体" w:hAnsi="宋体"/>
          <w:color w:val="FF0000"/>
          <w:szCs w:val="21"/>
        </w:rPr>
      </w:pPr>
      <w:r>
        <w:rPr>
          <w:rFonts w:hint="eastAsia" w:ascii="宋体" w:hAnsi="宋体"/>
          <w:color w:val="FF0000"/>
          <w:szCs w:val="21"/>
        </w:rPr>
        <w:t xml:space="preserve">                </w:t>
      </w:r>
    </w:p>
    <w:p>
      <w:pPr>
        <w:adjustRightInd w:val="0"/>
        <w:snapToGrid w:val="0"/>
        <w:spacing w:line="360" w:lineRule="auto"/>
        <w:ind w:firstLine="420" w:firstLineChars="200"/>
        <w:rPr>
          <w:rFonts w:ascii="宋体" w:hAnsi="宋体"/>
          <w:szCs w:val="21"/>
        </w:rPr>
      </w:pPr>
      <w:r>
        <w:rPr>
          <w:rFonts w:hint="eastAsia" w:ascii="宋体" w:hAnsi="宋体"/>
          <w:szCs w:val="21"/>
        </w:rPr>
        <w:t>从行业需求来看，本季度66.</w:t>
      </w:r>
      <w:r>
        <w:rPr>
          <w:rFonts w:hint="eastAsia" w:ascii="宋体" w:hAnsi="宋体"/>
          <w:szCs w:val="21"/>
          <w:lang w:val="en-US" w:eastAsia="zh-CN"/>
        </w:rPr>
        <w:t>69</w:t>
      </w:r>
      <w:r>
        <w:rPr>
          <w:rFonts w:hint="eastAsia" w:ascii="宋体" w:hAnsi="宋体"/>
          <w:szCs w:val="21"/>
        </w:rPr>
        <w:t>%的用人需求集中在制造业，其次为</w:t>
      </w:r>
      <w:r>
        <w:rPr>
          <w:rFonts w:hint="eastAsia" w:ascii="宋体" w:hAnsi="宋体" w:cs="宋体"/>
          <w:kern w:val="0"/>
          <w:szCs w:val="21"/>
        </w:rPr>
        <w:t>信息传输、计算机服务和软件业</w:t>
      </w:r>
      <w:r>
        <w:rPr>
          <w:rFonts w:hint="eastAsia" w:ascii="宋体" w:hAnsi="宋体"/>
          <w:szCs w:val="21"/>
        </w:rPr>
        <w:t>，占总需求的9.30%，再次为</w:t>
      </w:r>
      <w:r>
        <w:rPr>
          <w:rFonts w:hint="eastAsia" w:ascii="宋体" w:hAnsi="宋体" w:cs="宋体"/>
          <w:kern w:val="0"/>
          <w:szCs w:val="21"/>
        </w:rPr>
        <w:t>批发和零售业</w:t>
      </w:r>
      <w:r>
        <w:rPr>
          <w:rFonts w:hint="eastAsia" w:ascii="宋体" w:hAnsi="宋体"/>
          <w:szCs w:val="21"/>
        </w:rPr>
        <w:t>，占总需求的</w:t>
      </w:r>
      <w:r>
        <w:rPr>
          <w:rFonts w:hint="eastAsia" w:ascii="宋体" w:hAnsi="宋体"/>
          <w:szCs w:val="21"/>
          <w:lang w:val="en-US" w:eastAsia="zh-CN"/>
        </w:rPr>
        <w:t>8.06</w:t>
      </w:r>
      <w:r>
        <w:rPr>
          <w:rFonts w:hint="eastAsia" w:ascii="宋体" w:hAnsi="宋体"/>
          <w:szCs w:val="21"/>
        </w:rPr>
        <w:t>%。</w:t>
      </w:r>
    </w:p>
    <w:p>
      <w:pPr>
        <w:adjustRightInd w:val="0"/>
        <w:snapToGrid w:val="0"/>
        <w:spacing w:line="360" w:lineRule="auto"/>
        <w:jc w:val="center"/>
        <w:rPr>
          <w:rFonts w:ascii="宋体" w:hAnsi="宋体"/>
          <w:szCs w:val="21"/>
        </w:rPr>
      </w:pPr>
      <w:r>
        <w:rPr>
          <w:rFonts w:hint="eastAsia" w:ascii="宋体" w:hAnsi="宋体"/>
          <w:szCs w:val="21"/>
        </w:rPr>
        <w:t>表3</w:t>
      </w:r>
      <w:r>
        <w:rPr>
          <w:rFonts w:ascii="宋体" w:hAnsi="宋体"/>
          <w:szCs w:val="21"/>
        </w:rPr>
        <w:t>. 按行业分组的需求人数</w:t>
      </w:r>
    </w:p>
    <w:tbl>
      <w:tblPr>
        <w:tblStyle w:val="6"/>
        <w:tblW w:w="3560" w:type="pct"/>
        <w:tblCellSpacing w:w="0" w:type="dxa"/>
        <w:tblInd w:w="0"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autofit"/>
        <w:tblCellMar>
          <w:top w:w="0" w:type="dxa"/>
          <w:left w:w="0" w:type="dxa"/>
          <w:bottom w:w="0" w:type="dxa"/>
          <w:right w:w="0" w:type="dxa"/>
        </w:tblCellMar>
      </w:tblPr>
      <w:tblGrid>
        <w:gridCol w:w="3472"/>
        <w:gridCol w:w="1269"/>
        <w:gridCol w:w="1223"/>
      </w:tblGrid>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000000" w:sz="8" w:space="0"/>
              <w:left w:val="single" w:color="auto" w:sz="8" w:space="0"/>
              <w:bottom w:val="single" w:color="000000" w:sz="8" w:space="0"/>
              <w:right w:val="single" w:color="auto"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行业</w:t>
            </w:r>
          </w:p>
        </w:tc>
        <w:tc>
          <w:tcPr>
            <w:tcW w:w="1064" w:type="pct"/>
            <w:tcBorders>
              <w:top w:val="single" w:color="000000" w:sz="8" w:space="0"/>
              <w:left w:val="single" w:color="auto"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本季度需求人数 (人)</w:t>
            </w:r>
          </w:p>
        </w:tc>
        <w:tc>
          <w:tcPr>
            <w:tcW w:w="1025" w:type="pct"/>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本季度需求所占比</w:t>
            </w:r>
            <w:r>
              <w:rPr>
                <w:rFonts w:hint="eastAsia" w:ascii="宋体" w:hAnsi="宋体" w:cs="宋体"/>
                <w:kern w:val="0"/>
                <w:szCs w:val="21"/>
              </w:rPr>
              <w:br w:type="textWrapping"/>
            </w:r>
            <w:r>
              <w:rPr>
                <w:rFonts w:hint="eastAsia" w:ascii="宋体" w:hAnsi="宋体" w:cs="宋体"/>
                <w:kern w:val="0"/>
                <w:szCs w:val="21"/>
              </w:rPr>
              <w:t>重 (%)</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农、林、牧、渔业</w:t>
            </w:r>
          </w:p>
        </w:tc>
        <w:tc>
          <w:tcPr>
            <w:tcW w:w="1269" w:type="dxa"/>
            <w:tcBorders>
              <w:top w:val="single" w:color="000000"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0 </w:t>
            </w:r>
          </w:p>
        </w:tc>
        <w:tc>
          <w:tcPr>
            <w:tcW w:w="1223"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采矿业</w:t>
            </w:r>
          </w:p>
        </w:tc>
        <w:tc>
          <w:tcPr>
            <w:tcW w:w="1269"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0 </w:t>
            </w:r>
          </w:p>
        </w:tc>
        <w:tc>
          <w:tcPr>
            <w:tcW w:w="1223"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制造业</w:t>
            </w:r>
          </w:p>
        </w:tc>
        <w:tc>
          <w:tcPr>
            <w:tcW w:w="1269"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2"/>
                <w:szCs w:val="22"/>
              </w:rPr>
            </w:pPr>
            <w:r>
              <w:rPr>
                <w:rFonts w:hint="default" w:ascii="Times New Roman" w:hAnsi="Times New Roman" w:eastAsia="宋体" w:cs="Times New Roman"/>
                <w:i w:val="0"/>
                <w:iCs w:val="0"/>
                <w:color w:val="FF0000"/>
                <w:kern w:val="0"/>
                <w:sz w:val="22"/>
                <w:szCs w:val="22"/>
                <w:u w:val="none"/>
                <w:lang w:val="en-US" w:eastAsia="zh-CN" w:bidi="ar"/>
              </w:rPr>
              <w:t xml:space="preserve">32861 </w:t>
            </w:r>
          </w:p>
        </w:tc>
        <w:tc>
          <w:tcPr>
            <w:tcW w:w="1223"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66.69%</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电力、燃气及水的生产和供应业</w:t>
            </w:r>
          </w:p>
        </w:tc>
        <w:tc>
          <w:tcPr>
            <w:tcW w:w="1269"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87 </w:t>
            </w:r>
          </w:p>
        </w:tc>
        <w:tc>
          <w:tcPr>
            <w:tcW w:w="1223"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0.18%</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建筑业</w:t>
            </w:r>
          </w:p>
        </w:tc>
        <w:tc>
          <w:tcPr>
            <w:tcW w:w="1269"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2"/>
                <w:szCs w:val="22"/>
              </w:rPr>
            </w:pPr>
            <w:r>
              <w:rPr>
                <w:rFonts w:hint="default" w:ascii="Times New Roman" w:hAnsi="Times New Roman" w:eastAsia="宋体" w:cs="Times New Roman"/>
                <w:i w:val="0"/>
                <w:iCs w:val="0"/>
                <w:color w:val="FF0000"/>
                <w:kern w:val="0"/>
                <w:sz w:val="22"/>
                <w:szCs w:val="22"/>
                <w:u w:val="none"/>
                <w:lang w:val="en-US" w:eastAsia="zh-CN" w:bidi="ar"/>
              </w:rPr>
              <w:t xml:space="preserve">871 </w:t>
            </w:r>
          </w:p>
        </w:tc>
        <w:tc>
          <w:tcPr>
            <w:tcW w:w="1223"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1.77%</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交通运输、仓储和邮政业</w:t>
            </w:r>
          </w:p>
        </w:tc>
        <w:tc>
          <w:tcPr>
            <w:tcW w:w="1269" w:type="dxa"/>
            <w:tcBorders>
              <w:top w:val="single" w:color="auto" w:sz="8" w:space="0"/>
              <w:left w:val="single" w:color="auto"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295 </w:t>
            </w:r>
          </w:p>
        </w:tc>
        <w:tc>
          <w:tcPr>
            <w:tcW w:w="1223"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0.60%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信息传输、计算机服务和软件业</w:t>
            </w:r>
          </w:p>
        </w:tc>
        <w:tc>
          <w:tcPr>
            <w:tcW w:w="1269" w:type="dxa"/>
            <w:tcBorders>
              <w:top w:val="single" w:color="000000"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2"/>
                <w:szCs w:val="22"/>
              </w:rPr>
            </w:pPr>
            <w:r>
              <w:rPr>
                <w:rFonts w:hint="default" w:ascii="Times New Roman" w:hAnsi="Times New Roman" w:eastAsia="宋体" w:cs="Times New Roman"/>
                <w:i w:val="0"/>
                <w:iCs w:val="0"/>
                <w:color w:val="FF0000"/>
                <w:kern w:val="0"/>
                <w:sz w:val="22"/>
                <w:szCs w:val="22"/>
                <w:u w:val="none"/>
                <w:lang w:val="en-US" w:eastAsia="zh-CN" w:bidi="ar"/>
              </w:rPr>
              <w:t xml:space="preserve">4582 </w:t>
            </w:r>
          </w:p>
        </w:tc>
        <w:tc>
          <w:tcPr>
            <w:tcW w:w="1223"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9.30%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批发和零售业</w:t>
            </w:r>
          </w:p>
        </w:tc>
        <w:tc>
          <w:tcPr>
            <w:tcW w:w="1269"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2"/>
                <w:szCs w:val="22"/>
              </w:rPr>
            </w:pPr>
            <w:r>
              <w:rPr>
                <w:rFonts w:hint="default" w:ascii="Times New Roman" w:hAnsi="Times New Roman" w:eastAsia="宋体" w:cs="Times New Roman"/>
                <w:i w:val="0"/>
                <w:iCs w:val="0"/>
                <w:color w:val="FF0000"/>
                <w:kern w:val="0"/>
                <w:sz w:val="22"/>
                <w:szCs w:val="22"/>
                <w:u w:val="none"/>
                <w:lang w:val="en-US" w:eastAsia="zh-CN" w:bidi="ar"/>
              </w:rPr>
              <w:t xml:space="preserve">3973 </w:t>
            </w:r>
          </w:p>
        </w:tc>
        <w:tc>
          <w:tcPr>
            <w:tcW w:w="1223"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8.06%</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住宿和餐饮业</w:t>
            </w:r>
          </w:p>
        </w:tc>
        <w:tc>
          <w:tcPr>
            <w:tcW w:w="1269"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2"/>
                <w:szCs w:val="22"/>
              </w:rPr>
            </w:pPr>
            <w:r>
              <w:rPr>
                <w:rFonts w:hint="default" w:ascii="Times New Roman" w:hAnsi="Times New Roman" w:eastAsia="宋体" w:cs="Times New Roman"/>
                <w:i w:val="0"/>
                <w:iCs w:val="0"/>
                <w:color w:val="FF0000"/>
                <w:kern w:val="0"/>
                <w:sz w:val="22"/>
                <w:szCs w:val="22"/>
                <w:u w:val="none"/>
                <w:lang w:val="en-US" w:eastAsia="zh-CN" w:bidi="ar"/>
              </w:rPr>
              <w:t xml:space="preserve">2406 </w:t>
            </w:r>
          </w:p>
        </w:tc>
        <w:tc>
          <w:tcPr>
            <w:tcW w:w="1223"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4.88%</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金融业</w:t>
            </w:r>
          </w:p>
        </w:tc>
        <w:tc>
          <w:tcPr>
            <w:tcW w:w="1269"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126 </w:t>
            </w:r>
          </w:p>
        </w:tc>
        <w:tc>
          <w:tcPr>
            <w:tcW w:w="1223"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0.26%</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房地产业</w:t>
            </w:r>
          </w:p>
        </w:tc>
        <w:tc>
          <w:tcPr>
            <w:tcW w:w="1269"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108 </w:t>
            </w:r>
          </w:p>
        </w:tc>
        <w:tc>
          <w:tcPr>
            <w:tcW w:w="1223"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0.22%</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租赁和商务服务业</w:t>
            </w:r>
          </w:p>
        </w:tc>
        <w:tc>
          <w:tcPr>
            <w:tcW w:w="1269"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127 </w:t>
            </w:r>
          </w:p>
        </w:tc>
        <w:tc>
          <w:tcPr>
            <w:tcW w:w="1223"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0.26%</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科学研究、技术服务和地质勘查业</w:t>
            </w:r>
          </w:p>
        </w:tc>
        <w:tc>
          <w:tcPr>
            <w:tcW w:w="1269"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65 </w:t>
            </w:r>
          </w:p>
        </w:tc>
        <w:tc>
          <w:tcPr>
            <w:tcW w:w="1223"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0.13%</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000000"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水利、环境和公共设施管理业</w:t>
            </w:r>
          </w:p>
        </w:tc>
        <w:tc>
          <w:tcPr>
            <w:tcW w:w="1269"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125 </w:t>
            </w:r>
          </w:p>
        </w:tc>
        <w:tc>
          <w:tcPr>
            <w:tcW w:w="1223"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0.25%</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居民服务和其他服务业</w:t>
            </w:r>
          </w:p>
        </w:tc>
        <w:tc>
          <w:tcPr>
            <w:tcW w:w="1269"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2"/>
                <w:szCs w:val="22"/>
              </w:rPr>
            </w:pPr>
            <w:r>
              <w:rPr>
                <w:rFonts w:hint="default" w:ascii="Times New Roman" w:hAnsi="Times New Roman" w:eastAsia="宋体" w:cs="Times New Roman"/>
                <w:i w:val="0"/>
                <w:iCs w:val="0"/>
                <w:color w:val="FF0000"/>
                <w:kern w:val="0"/>
                <w:sz w:val="22"/>
                <w:szCs w:val="22"/>
                <w:u w:val="none"/>
                <w:lang w:val="en-US" w:eastAsia="zh-CN" w:bidi="ar"/>
              </w:rPr>
              <w:t xml:space="preserve">2317 </w:t>
            </w:r>
          </w:p>
        </w:tc>
        <w:tc>
          <w:tcPr>
            <w:tcW w:w="1223"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4.70%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教育</w:t>
            </w:r>
          </w:p>
        </w:tc>
        <w:tc>
          <w:tcPr>
            <w:tcW w:w="1269"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495 </w:t>
            </w:r>
          </w:p>
        </w:tc>
        <w:tc>
          <w:tcPr>
            <w:tcW w:w="1223"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1.00%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卫生、社会保障和社会福利业</w:t>
            </w:r>
          </w:p>
        </w:tc>
        <w:tc>
          <w:tcPr>
            <w:tcW w:w="1269"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452 </w:t>
            </w:r>
          </w:p>
        </w:tc>
        <w:tc>
          <w:tcPr>
            <w:tcW w:w="1223"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0.92%</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000000"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文化、体育和娱乐业</w:t>
            </w:r>
          </w:p>
        </w:tc>
        <w:tc>
          <w:tcPr>
            <w:tcW w:w="1269"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132 </w:t>
            </w:r>
          </w:p>
        </w:tc>
        <w:tc>
          <w:tcPr>
            <w:tcW w:w="1223"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0.27%</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公共管理与社会组织</w:t>
            </w:r>
          </w:p>
        </w:tc>
        <w:tc>
          <w:tcPr>
            <w:tcW w:w="1269"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253 </w:t>
            </w:r>
          </w:p>
        </w:tc>
        <w:tc>
          <w:tcPr>
            <w:tcW w:w="1223"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0.51%</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国际组织</w:t>
            </w:r>
          </w:p>
        </w:tc>
        <w:tc>
          <w:tcPr>
            <w:tcW w:w="1269"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0 </w:t>
            </w:r>
          </w:p>
        </w:tc>
        <w:tc>
          <w:tcPr>
            <w:tcW w:w="1223"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trPr>
        <w:tc>
          <w:tcPr>
            <w:tcW w:w="2911" w:type="pct"/>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合计</w:t>
            </w:r>
          </w:p>
        </w:tc>
        <w:tc>
          <w:tcPr>
            <w:tcW w:w="1269"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49275 </w:t>
            </w:r>
          </w:p>
        </w:tc>
        <w:tc>
          <w:tcPr>
            <w:tcW w:w="1223"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100.00%</w:t>
            </w:r>
          </w:p>
        </w:tc>
      </w:tr>
    </w:tbl>
    <w:p>
      <w:pPr>
        <w:adjustRightInd w:val="0"/>
        <w:snapToGrid w:val="0"/>
        <w:spacing w:line="360" w:lineRule="auto"/>
        <w:rPr>
          <w:rFonts w:ascii="宋体" w:hAnsi="宋体"/>
          <w:color w:val="FF0000"/>
          <w:szCs w:val="21"/>
        </w:rPr>
      </w:pPr>
    </w:p>
    <w:p>
      <w:pPr>
        <w:adjustRightInd w:val="0"/>
        <w:snapToGrid w:val="0"/>
        <w:spacing w:line="360" w:lineRule="auto"/>
        <w:rPr>
          <w:rFonts w:ascii="宋体" w:hAnsi="宋体"/>
          <w:b/>
          <w:szCs w:val="21"/>
        </w:rPr>
      </w:pPr>
      <w:r>
        <w:rPr>
          <w:rFonts w:hint="eastAsia" w:ascii="宋体" w:hAnsi="宋体"/>
          <w:b/>
          <w:szCs w:val="21"/>
        </w:rPr>
        <w:t>（三）</w:t>
      </w:r>
      <w:r>
        <w:rPr>
          <w:rFonts w:ascii="宋体" w:hAnsi="宋体"/>
          <w:b/>
          <w:szCs w:val="21"/>
        </w:rPr>
        <w:t>、用人单位需求情况</w:t>
      </w:r>
    </w:p>
    <w:p>
      <w:pPr>
        <w:adjustRightInd w:val="0"/>
        <w:snapToGrid w:val="0"/>
        <w:spacing w:line="360" w:lineRule="auto"/>
        <w:ind w:firstLine="420" w:firstLineChars="200"/>
        <w:rPr>
          <w:rFonts w:ascii="宋体" w:hAnsi="宋体"/>
          <w:color w:val="FF0000"/>
          <w:szCs w:val="21"/>
        </w:rPr>
      </w:pPr>
      <w:r>
        <w:rPr>
          <w:rFonts w:hint="eastAsia" w:ascii="宋体" w:hAnsi="Verdana" w:cs="宋体"/>
          <w:kern w:val="0"/>
          <w:szCs w:val="21"/>
        </w:rPr>
        <w:t>按不同的经济类型单位需求情况看，本季度企业需求人数为</w:t>
      </w:r>
      <w:r>
        <w:rPr>
          <w:rFonts w:hint="eastAsia" w:ascii="宋体" w:hAnsi="Verdana" w:cs="宋体"/>
          <w:kern w:val="0"/>
          <w:szCs w:val="21"/>
          <w:lang w:val="en-US" w:eastAsia="zh-CN"/>
        </w:rPr>
        <w:t>49275</w:t>
      </w:r>
      <w:r>
        <w:rPr>
          <w:rFonts w:hint="eastAsia" w:ascii="宋体" w:hAnsi="Verdana" w:cs="宋体"/>
          <w:kern w:val="0"/>
          <w:szCs w:val="21"/>
        </w:rPr>
        <w:t>人。企业中需求人数所占比重最多的是内资企业，共</w:t>
      </w:r>
      <w:r>
        <w:rPr>
          <w:rFonts w:hint="eastAsia" w:ascii="宋体" w:hAnsi="Verdana" w:cs="宋体"/>
          <w:kern w:val="0"/>
          <w:szCs w:val="21"/>
          <w:lang w:val="en-US" w:eastAsia="zh-CN"/>
        </w:rPr>
        <w:t>46076</w:t>
      </w:r>
      <w:r>
        <w:rPr>
          <w:rFonts w:hint="eastAsia" w:ascii="宋体" w:hAnsi="Verdana" w:cs="宋体"/>
          <w:kern w:val="0"/>
          <w:szCs w:val="21"/>
        </w:rPr>
        <w:t>人，占企业总数的93.</w:t>
      </w:r>
      <w:r>
        <w:rPr>
          <w:rFonts w:hint="eastAsia" w:ascii="宋体" w:hAnsi="Verdana" w:cs="宋体"/>
          <w:kern w:val="0"/>
          <w:szCs w:val="21"/>
          <w:lang w:val="en-US" w:eastAsia="zh-CN"/>
        </w:rPr>
        <w:t>51</w:t>
      </w:r>
      <w:r>
        <w:rPr>
          <w:rFonts w:hint="eastAsia" w:ascii="宋体" w:hAnsi="Verdana" w:cs="宋体"/>
          <w:kern w:val="0"/>
          <w:szCs w:val="21"/>
        </w:rPr>
        <w:t>%，内资企业中用工需求主要集中在有限责任公司、私营企业、股份有限公司。</w:t>
      </w:r>
    </w:p>
    <w:p>
      <w:pPr>
        <w:widowControl/>
        <w:adjustRightInd w:val="0"/>
        <w:snapToGrid w:val="0"/>
        <w:spacing w:beforeAutospacing="1" w:afterAutospacing="1" w:line="360" w:lineRule="auto"/>
        <w:jc w:val="center"/>
        <w:rPr>
          <w:rFonts w:ascii="宋体" w:hAnsi="宋体" w:cs="宋体"/>
          <w:kern w:val="0"/>
          <w:sz w:val="22"/>
          <w:szCs w:val="22"/>
        </w:rPr>
      </w:pPr>
      <w:r>
        <w:rPr>
          <w:rFonts w:hint="eastAsia" w:ascii="宋体" w:hAnsi="宋体" w:cs="宋体"/>
          <w:kern w:val="0"/>
          <w:sz w:val="22"/>
          <w:szCs w:val="22"/>
        </w:rPr>
        <w:t>表4. 按经济类型分组的需求人数</w:t>
      </w:r>
    </w:p>
    <w:tbl>
      <w:tblPr>
        <w:tblStyle w:val="6"/>
        <w:tblW w:w="3357" w:type="pct"/>
        <w:jc w:val="center"/>
        <w:tblCellSpacing w:w="0" w:type="dxa"/>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autofit"/>
        <w:tblCellMar>
          <w:top w:w="0" w:type="dxa"/>
          <w:left w:w="0" w:type="dxa"/>
          <w:bottom w:w="0" w:type="dxa"/>
          <w:right w:w="0" w:type="dxa"/>
        </w:tblCellMar>
      </w:tblPr>
      <w:tblGrid>
        <w:gridCol w:w="2560"/>
        <w:gridCol w:w="1448"/>
        <w:gridCol w:w="1616"/>
      </w:tblGrid>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2"/>
              </w:rPr>
              <w:t>经济类型</w:t>
            </w:r>
          </w:p>
        </w:tc>
        <w:tc>
          <w:tcPr>
            <w:tcW w:w="1287" w:type="pct"/>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spacing w:line="360" w:lineRule="auto"/>
              <w:jc w:val="center"/>
              <w:rPr>
                <w:szCs w:val="21"/>
              </w:rPr>
            </w:pPr>
            <w:r>
              <w:rPr>
                <w:rFonts w:hint="eastAsia"/>
                <w:szCs w:val="21"/>
              </w:rPr>
              <w:t>本季度</w:t>
            </w:r>
          </w:p>
          <w:p>
            <w:pPr>
              <w:spacing w:line="360" w:lineRule="auto"/>
              <w:jc w:val="center"/>
              <w:rPr>
                <w:rFonts w:ascii="宋体" w:hAnsi="宋体" w:cs="宋体"/>
                <w:szCs w:val="21"/>
              </w:rPr>
            </w:pPr>
            <w:r>
              <w:rPr>
                <w:rFonts w:hint="eastAsia"/>
                <w:szCs w:val="21"/>
              </w:rPr>
              <w:t>需求人数 (人)</w:t>
            </w:r>
          </w:p>
        </w:tc>
        <w:tc>
          <w:tcPr>
            <w:tcW w:w="1437" w:type="pct"/>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spacing w:line="360" w:lineRule="auto"/>
              <w:jc w:val="center"/>
              <w:rPr>
                <w:rFonts w:ascii="宋体" w:hAnsi="宋体" w:cs="宋体"/>
                <w:szCs w:val="21"/>
              </w:rPr>
            </w:pPr>
            <w:r>
              <w:rPr>
                <w:rFonts w:hint="eastAsia"/>
                <w:szCs w:val="21"/>
              </w:rPr>
              <w:t>本季度需求所占比重 (%)</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rPr>
              <w:t>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bottom"/>
          </w:tcPr>
          <w:p>
            <w:pPr>
              <w:keepNext w:val="0"/>
              <w:keepLines w:val="0"/>
              <w:widowControl/>
              <w:suppressLineNumbers w:val="0"/>
              <w:jc w:val="center"/>
              <w:textAlignment w:val="bottom"/>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 xml:space="preserve">49201 </w:t>
            </w:r>
          </w:p>
        </w:tc>
        <w:tc>
          <w:tcPr>
            <w:tcW w:w="161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99.85%</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2"/>
              </w:rPr>
              <w:t>其中：内资企业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 xml:space="preserve">46076 </w:t>
            </w:r>
          </w:p>
        </w:tc>
        <w:tc>
          <w:tcPr>
            <w:tcW w:w="161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93.51%</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center"/>
              <w:rPr>
                <w:rFonts w:ascii="宋体" w:hAnsi="宋体" w:cs="宋体"/>
                <w:kern w:val="0"/>
                <w:szCs w:val="21"/>
              </w:rPr>
            </w:pPr>
            <w:r>
              <w:rPr>
                <w:rFonts w:hint="eastAsia" w:ascii="宋体" w:hAnsi="宋体" w:cs="宋体"/>
                <w:kern w:val="0"/>
                <w:szCs w:val="22"/>
              </w:rPr>
              <w:t>国有企业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4"/>
              </w:rPr>
            </w:pPr>
            <w:r>
              <w:rPr>
                <w:rFonts w:hint="default" w:ascii="Times New Roman" w:hAnsi="Times New Roman" w:eastAsia="宋体" w:cs="Times New Roman"/>
                <w:i w:val="0"/>
                <w:iCs w:val="0"/>
                <w:color w:val="FF0000"/>
                <w:kern w:val="0"/>
                <w:sz w:val="24"/>
                <w:szCs w:val="24"/>
                <w:u w:val="none"/>
                <w:lang w:val="en-US" w:eastAsia="zh-CN" w:bidi="ar"/>
              </w:rPr>
              <w:t xml:space="preserve">517 </w:t>
            </w:r>
          </w:p>
        </w:tc>
        <w:tc>
          <w:tcPr>
            <w:tcW w:w="161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1.05%</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auto"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center"/>
              <w:rPr>
                <w:rFonts w:ascii="宋体" w:hAnsi="宋体" w:cs="宋体"/>
                <w:kern w:val="0"/>
                <w:szCs w:val="21"/>
              </w:rPr>
            </w:pPr>
            <w:r>
              <w:rPr>
                <w:rFonts w:hint="eastAsia" w:ascii="宋体" w:hAnsi="宋体" w:cs="宋体"/>
                <w:kern w:val="0"/>
                <w:szCs w:val="22"/>
              </w:rPr>
              <w:t>集体企业</w:t>
            </w:r>
          </w:p>
        </w:tc>
        <w:tc>
          <w:tcPr>
            <w:tcW w:w="144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4"/>
              </w:rPr>
            </w:pPr>
            <w:r>
              <w:rPr>
                <w:rFonts w:hint="default" w:ascii="Times New Roman" w:hAnsi="Times New Roman" w:eastAsia="宋体" w:cs="Times New Roman"/>
                <w:i w:val="0"/>
                <w:iCs w:val="0"/>
                <w:color w:val="FF0000"/>
                <w:kern w:val="0"/>
                <w:sz w:val="24"/>
                <w:szCs w:val="24"/>
                <w:u w:val="none"/>
                <w:lang w:val="en-US" w:eastAsia="zh-CN" w:bidi="ar"/>
              </w:rPr>
              <w:t xml:space="preserve">1301 </w:t>
            </w:r>
          </w:p>
        </w:tc>
        <w:tc>
          <w:tcPr>
            <w:tcW w:w="1616"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2.64%</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center"/>
              <w:rPr>
                <w:rFonts w:ascii="宋体" w:hAnsi="宋体" w:cs="宋体"/>
                <w:kern w:val="0"/>
                <w:szCs w:val="21"/>
              </w:rPr>
            </w:pPr>
            <w:r>
              <w:rPr>
                <w:rFonts w:hint="eastAsia" w:ascii="宋体" w:hAnsi="宋体" w:cs="宋体"/>
                <w:kern w:val="0"/>
                <w:szCs w:val="22"/>
              </w:rPr>
              <w:t>股份合作企业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4"/>
              </w:rPr>
            </w:pPr>
            <w:r>
              <w:rPr>
                <w:rFonts w:hint="default" w:ascii="Times New Roman" w:hAnsi="Times New Roman" w:eastAsia="宋体" w:cs="Times New Roman"/>
                <w:i w:val="0"/>
                <w:iCs w:val="0"/>
                <w:color w:val="FF0000"/>
                <w:kern w:val="0"/>
                <w:sz w:val="24"/>
                <w:szCs w:val="24"/>
                <w:u w:val="none"/>
                <w:lang w:val="en-US" w:eastAsia="zh-CN" w:bidi="ar"/>
              </w:rPr>
              <w:t xml:space="preserve">3540 </w:t>
            </w:r>
          </w:p>
        </w:tc>
        <w:tc>
          <w:tcPr>
            <w:tcW w:w="161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7.18%</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auto"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center"/>
              <w:rPr>
                <w:rFonts w:ascii="宋体" w:hAnsi="宋体" w:cs="宋体"/>
                <w:kern w:val="0"/>
                <w:szCs w:val="21"/>
              </w:rPr>
            </w:pPr>
            <w:r>
              <w:rPr>
                <w:rFonts w:hint="eastAsia" w:ascii="宋体" w:hAnsi="宋体" w:cs="宋体"/>
                <w:kern w:val="0"/>
                <w:szCs w:val="22"/>
              </w:rPr>
              <w:t>联营企业</w:t>
            </w:r>
          </w:p>
        </w:tc>
        <w:tc>
          <w:tcPr>
            <w:tcW w:w="144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 xml:space="preserve">554 </w:t>
            </w:r>
          </w:p>
        </w:tc>
        <w:tc>
          <w:tcPr>
            <w:tcW w:w="161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1.12%</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auto"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center"/>
              <w:rPr>
                <w:rFonts w:ascii="宋体" w:hAnsi="宋体" w:cs="宋体"/>
                <w:kern w:val="0"/>
                <w:szCs w:val="21"/>
              </w:rPr>
            </w:pPr>
            <w:r>
              <w:rPr>
                <w:rFonts w:hint="eastAsia" w:ascii="宋体" w:hAnsi="宋体" w:cs="宋体"/>
                <w:kern w:val="0"/>
                <w:szCs w:val="22"/>
              </w:rPr>
              <w:t>有限责任公司</w:t>
            </w:r>
          </w:p>
        </w:tc>
        <w:tc>
          <w:tcPr>
            <w:tcW w:w="144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4"/>
              </w:rPr>
            </w:pPr>
            <w:r>
              <w:rPr>
                <w:rFonts w:hint="default" w:ascii="Times New Roman" w:hAnsi="Times New Roman" w:eastAsia="宋体" w:cs="Times New Roman"/>
                <w:i w:val="0"/>
                <w:iCs w:val="0"/>
                <w:color w:val="FF0000"/>
                <w:kern w:val="0"/>
                <w:sz w:val="24"/>
                <w:szCs w:val="24"/>
                <w:u w:val="none"/>
                <w:lang w:val="en-US" w:eastAsia="zh-CN" w:bidi="ar"/>
              </w:rPr>
              <w:t xml:space="preserve">19970 </w:t>
            </w:r>
          </w:p>
        </w:tc>
        <w:tc>
          <w:tcPr>
            <w:tcW w:w="161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40.53%</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center"/>
              <w:rPr>
                <w:rFonts w:ascii="宋体" w:hAnsi="宋体" w:cs="宋体"/>
                <w:kern w:val="0"/>
                <w:szCs w:val="21"/>
              </w:rPr>
            </w:pPr>
            <w:r>
              <w:rPr>
                <w:rFonts w:hint="eastAsia" w:ascii="宋体" w:hAnsi="宋体" w:cs="宋体"/>
                <w:kern w:val="0"/>
                <w:szCs w:val="22"/>
              </w:rPr>
              <w:t>股份有限公司</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4"/>
              </w:rPr>
            </w:pPr>
            <w:r>
              <w:rPr>
                <w:rFonts w:hint="default" w:ascii="Times New Roman" w:hAnsi="Times New Roman" w:eastAsia="宋体" w:cs="Times New Roman"/>
                <w:i w:val="0"/>
                <w:iCs w:val="0"/>
                <w:color w:val="FF0000"/>
                <w:kern w:val="0"/>
                <w:sz w:val="24"/>
                <w:szCs w:val="24"/>
                <w:u w:val="none"/>
                <w:lang w:val="en-US" w:eastAsia="zh-CN" w:bidi="ar"/>
              </w:rPr>
              <w:t xml:space="preserve">8453 </w:t>
            </w:r>
          </w:p>
        </w:tc>
        <w:tc>
          <w:tcPr>
            <w:tcW w:w="161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17.15%</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center"/>
              <w:rPr>
                <w:rFonts w:ascii="宋体" w:hAnsi="宋体" w:cs="宋体"/>
                <w:kern w:val="0"/>
                <w:szCs w:val="21"/>
              </w:rPr>
            </w:pPr>
            <w:r>
              <w:rPr>
                <w:rFonts w:hint="eastAsia" w:ascii="宋体" w:hAnsi="宋体" w:cs="宋体"/>
                <w:kern w:val="0"/>
                <w:szCs w:val="22"/>
              </w:rPr>
              <w:t>私营企业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4"/>
              </w:rPr>
            </w:pPr>
            <w:r>
              <w:rPr>
                <w:rFonts w:hint="default" w:ascii="Times New Roman" w:hAnsi="Times New Roman" w:eastAsia="宋体" w:cs="Times New Roman"/>
                <w:i w:val="0"/>
                <w:iCs w:val="0"/>
                <w:color w:val="FF0000"/>
                <w:kern w:val="0"/>
                <w:sz w:val="24"/>
                <w:szCs w:val="24"/>
                <w:u w:val="none"/>
                <w:lang w:val="en-US" w:eastAsia="zh-CN" w:bidi="ar"/>
              </w:rPr>
              <w:t xml:space="preserve">7559 </w:t>
            </w:r>
          </w:p>
        </w:tc>
        <w:tc>
          <w:tcPr>
            <w:tcW w:w="161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15.34%</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center"/>
              <w:rPr>
                <w:rFonts w:ascii="宋体" w:hAnsi="宋体" w:cs="宋体"/>
                <w:kern w:val="0"/>
                <w:szCs w:val="21"/>
              </w:rPr>
            </w:pPr>
            <w:r>
              <w:rPr>
                <w:rFonts w:hint="eastAsia" w:ascii="宋体" w:hAnsi="宋体" w:cs="宋体"/>
                <w:kern w:val="0"/>
                <w:szCs w:val="22"/>
              </w:rPr>
              <w:t>其它企业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 xml:space="preserve">4182 </w:t>
            </w:r>
          </w:p>
        </w:tc>
        <w:tc>
          <w:tcPr>
            <w:tcW w:w="161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8.49%</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2"/>
              </w:rPr>
              <w:t>港、澳、台投资企业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4"/>
              </w:rPr>
            </w:pPr>
            <w:r>
              <w:rPr>
                <w:rFonts w:hint="default" w:ascii="Times New Roman" w:hAnsi="Times New Roman" w:eastAsia="宋体" w:cs="Times New Roman"/>
                <w:i w:val="0"/>
                <w:iCs w:val="0"/>
                <w:color w:val="FF0000"/>
                <w:kern w:val="0"/>
                <w:sz w:val="24"/>
                <w:szCs w:val="24"/>
                <w:u w:val="none"/>
                <w:lang w:val="en-US" w:eastAsia="zh-CN" w:bidi="ar"/>
              </w:rPr>
              <w:t xml:space="preserve">1613 </w:t>
            </w:r>
          </w:p>
        </w:tc>
        <w:tc>
          <w:tcPr>
            <w:tcW w:w="161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3.27%</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2"/>
              </w:rPr>
              <w:t>外商投资企业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4"/>
              </w:rPr>
            </w:pPr>
            <w:r>
              <w:rPr>
                <w:rFonts w:hint="default" w:ascii="Times New Roman" w:hAnsi="Times New Roman" w:eastAsia="宋体" w:cs="Times New Roman"/>
                <w:i w:val="0"/>
                <w:iCs w:val="0"/>
                <w:color w:val="FF0000"/>
                <w:kern w:val="0"/>
                <w:sz w:val="24"/>
                <w:szCs w:val="24"/>
                <w:u w:val="none"/>
                <w:lang w:val="en-US" w:eastAsia="zh-CN" w:bidi="ar"/>
              </w:rPr>
              <w:t xml:space="preserve">1150 </w:t>
            </w:r>
          </w:p>
        </w:tc>
        <w:tc>
          <w:tcPr>
            <w:tcW w:w="161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2.33%</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auto"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660"/>
              <w:jc w:val="center"/>
              <w:rPr>
                <w:rFonts w:ascii="宋体" w:hAnsi="宋体" w:cs="宋体"/>
                <w:kern w:val="0"/>
                <w:szCs w:val="21"/>
              </w:rPr>
            </w:pPr>
            <w:r>
              <w:rPr>
                <w:rFonts w:hint="eastAsia" w:ascii="宋体" w:hAnsi="宋体" w:cs="宋体"/>
                <w:kern w:val="0"/>
                <w:szCs w:val="22"/>
              </w:rPr>
              <w:t>个体经营</w:t>
            </w:r>
          </w:p>
        </w:tc>
        <w:tc>
          <w:tcPr>
            <w:tcW w:w="144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 xml:space="preserve">362 </w:t>
            </w:r>
          </w:p>
        </w:tc>
        <w:tc>
          <w:tcPr>
            <w:tcW w:w="1616"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0.73%</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rPr>
              <w:t>事业</w:t>
            </w:r>
          </w:p>
        </w:tc>
        <w:tc>
          <w:tcPr>
            <w:tcW w:w="144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 xml:space="preserve">74 </w:t>
            </w:r>
          </w:p>
        </w:tc>
        <w:tc>
          <w:tcPr>
            <w:tcW w:w="161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0.15%</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auto"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rPr>
              <w:t>机关</w:t>
            </w:r>
          </w:p>
        </w:tc>
        <w:tc>
          <w:tcPr>
            <w:tcW w:w="144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 xml:space="preserve">0 </w:t>
            </w:r>
          </w:p>
        </w:tc>
        <w:tc>
          <w:tcPr>
            <w:tcW w:w="1616"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0.00%</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rPr>
              <w:t>其他</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 xml:space="preserve">0 </w:t>
            </w:r>
          </w:p>
        </w:tc>
        <w:tc>
          <w:tcPr>
            <w:tcW w:w="161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0.00%</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276" w:type="pct"/>
            <w:tcBorders>
              <w:top w:val="single" w:color="000000" w:sz="8" w:space="0"/>
              <w:left w:val="single" w:color="000000" w:sz="8" w:space="0"/>
              <w:bottom w:val="single" w:color="FFFFFF"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rPr>
              <w:t>合计</w:t>
            </w:r>
          </w:p>
        </w:tc>
        <w:tc>
          <w:tcPr>
            <w:tcW w:w="1448" w:type="dxa"/>
            <w:tcBorders>
              <w:top w:val="single" w:color="000000" w:sz="8" w:space="0"/>
              <w:left w:val="single" w:color="000000" w:sz="8" w:space="0"/>
              <w:bottom w:val="single" w:color="FFFFFF"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49275</w:t>
            </w:r>
          </w:p>
        </w:tc>
        <w:tc>
          <w:tcPr>
            <w:tcW w:w="1616" w:type="dxa"/>
            <w:tcBorders>
              <w:top w:val="single" w:color="000000" w:sz="8" w:space="0"/>
              <w:left w:val="single" w:color="000000" w:sz="8" w:space="0"/>
              <w:bottom w:val="single" w:color="FFFFFF"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sz w:val="24"/>
              </w:rPr>
            </w:pPr>
            <w:r>
              <w:rPr>
                <w:rFonts w:hint="default" w:ascii="Times New Roman" w:hAnsi="Times New Roman" w:eastAsia="宋体" w:cs="Times New Roman"/>
                <w:i w:val="0"/>
                <w:iCs w:val="0"/>
                <w:color w:val="000000"/>
                <w:kern w:val="0"/>
                <w:sz w:val="24"/>
                <w:szCs w:val="24"/>
                <w:u w:val="none"/>
                <w:lang w:val="en-US" w:eastAsia="zh-CN" w:bidi="ar"/>
              </w:rPr>
              <w:t>100.00%</w:t>
            </w:r>
          </w:p>
        </w:tc>
      </w:tr>
    </w:tbl>
    <w:p>
      <w:pPr>
        <w:adjustRightInd w:val="0"/>
        <w:snapToGrid w:val="0"/>
        <w:spacing w:line="360" w:lineRule="auto"/>
        <w:ind w:firstLine="420" w:firstLineChars="200"/>
        <w:rPr>
          <w:rFonts w:ascii="宋体" w:hAnsi="宋体"/>
          <w:color w:val="FF0000"/>
          <w:szCs w:val="21"/>
        </w:rPr>
      </w:pPr>
    </w:p>
    <w:p>
      <w:pPr>
        <w:adjustRightInd w:val="0"/>
        <w:snapToGrid w:val="0"/>
        <w:spacing w:line="360" w:lineRule="auto"/>
        <w:rPr>
          <w:rFonts w:ascii="宋体" w:hAnsi="宋体"/>
          <w:b/>
          <w:szCs w:val="21"/>
        </w:rPr>
      </w:pPr>
      <w:r>
        <w:rPr>
          <w:rFonts w:hint="eastAsia" w:ascii="宋体" w:hAnsi="宋体"/>
          <w:b/>
          <w:szCs w:val="21"/>
        </w:rPr>
        <w:t>（四）</w:t>
      </w:r>
      <w:r>
        <w:rPr>
          <w:rFonts w:ascii="宋体" w:hAnsi="宋体"/>
          <w:b/>
          <w:szCs w:val="21"/>
        </w:rPr>
        <w:t>、</w:t>
      </w:r>
      <w:r>
        <w:rPr>
          <w:rFonts w:hint="eastAsia" w:ascii="宋体" w:hAnsi="宋体"/>
          <w:b/>
          <w:szCs w:val="21"/>
        </w:rPr>
        <w:t>按</w:t>
      </w:r>
      <w:r>
        <w:rPr>
          <w:rFonts w:ascii="宋体" w:hAnsi="宋体"/>
          <w:b/>
          <w:szCs w:val="21"/>
        </w:rPr>
        <w:t>职业供求情况分析</w:t>
      </w:r>
    </w:p>
    <w:p>
      <w:pPr>
        <w:adjustRightInd w:val="0"/>
        <w:snapToGrid w:val="0"/>
        <w:spacing w:line="360" w:lineRule="auto"/>
        <w:ind w:firstLine="420"/>
        <w:rPr>
          <w:rFonts w:ascii="宋体" w:hAnsi="宋体"/>
          <w:szCs w:val="21"/>
        </w:rPr>
      </w:pPr>
      <w:r>
        <w:rPr>
          <w:rFonts w:hint="eastAsia" w:ascii="宋体" w:hAnsi="宋体" w:cs="宋体"/>
          <w:kern w:val="0"/>
          <w:szCs w:val="21"/>
        </w:rPr>
        <w:t>从职业供求情况来看，操作工需求和求职人数最多，比重均最大，超过一半，从数量上缺口也最大。求人倍率最大的是商业和服务人员，其次是生产运输设备操作工，最小的是其他人员人。这一情况与去年同期及上期供求情况有所变化，本期第三产业求职人员减少，专业技术人员求职人员有所增加。</w:t>
      </w:r>
    </w:p>
    <w:p>
      <w:pPr>
        <w:adjustRightInd w:val="0"/>
        <w:snapToGrid w:val="0"/>
        <w:spacing w:line="360" w:lineRule="auto"/>
        <w:jc w:val="center"/>
        <w:rPr>
          <w:rFonts w:ascii="宋体" w:hAnsi="宋体"/>
          <w:szCs w:val="21"/>
        </w:rPr>
      </w:pPr>
      <w:r>
        <w:rPr>
          <w:rFonts w:hint="eastAsia" w:ascii="宋体" w:hAnsi="宋体"/>
          <w:szCs w:val="21"/>
        </w:rPr>
        <w:t xml:space="preserve">表5. </w:t>
      </w:r>
      <w:r>
        <w:rPr>
          <w:rFonts w:ascii="宋体" w:hAnsi="宋体"/>
          <w:szCs w:val="21"/>
        </w:rPr>
        <w:t>按职业分组的供求人数</w:t>
      </w:r>
    </w:p>
    <w:tbl>
      <w:tblPr>
        <w:tblStyle w:val="6"/>
        <w:tblW w:w="4068" w:type="pct"/>
        <w:tblInd w:w="0" w:type="dxa"/>
        <w:tblLayout w:type="autofit"/>
        <w:tblCellMar>
          <w:top w:w="0" w:type="dxa"/>
          <w:left w:w="0" w:type="dxa"/>
          <w:bottom w:w="0" w:type="dxa"/>
          <w:right w:w="0" w:type="dxa"/>
        </w:tblCellMar>
      </w:tblPr>
      <w:tblGrid>
        <w:gridCol w:w="2092"/>
        <w:gridCol w:w="862"/>
        <w:gridCol w:w="1005"/>
        <w:gridCol w:w="862"/>
        <w:gridCol w:w="1006"/>
        <w:gridCol w:w="1106"/>
      </w:tblGrid>
      <w:tr>
        <w:tblPrEx>
          <w:tblCellMar>
            <w:top w:w="0" w:type="dxa"/>
            <w:left w:w="0" w:type="dxa"/>
            <w:bottom w:w="0" w:type="dxa"/>
            <w:right w:w="0" w:type="dxa"/>
          </w:tblCellMar>
        </w:tblPrEx>
        <w:trPr>
          <w:cantSplit/>
          <w:trHeight w:val="397" w:hRule="atLeast"/>
        </w:trPr>
        <w:tc>
          <w:tcPr>
            <w:tcW w:w="1509" w:type="pct"/>
            <w:vMerge w:val="restart"/>
            <w:tcBorders>
              <w:top w:val="single" w:color="auto" w:sz="8" w:space="0"/>
              <w:left w:val="single" w:color="auto" w:sz="8" w:space="0"/>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1"/>
              </w:rPr>
              <w:t>职业类别</w:t>
            </w:r>
          </w:p>
        </w:tc>
        <w:tc>
          <w:tcPr>
            <w:tcW w:w="3491" w:type="pct"/>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1"/>
              </w:rPr>
              <w:t>劳动力供求人数比较</w:t>
            </w:r>
          </w:p>
        </w:tc>
      </w:tr>
      <w:tr>
        <w:tblPrEx>
          <w:tblCellMar>
            <w:top w:w="0" w:type="dxa"/>
            <w:left w:w="0" w:type="dxa"/>
            <w:bottom w:w="0" w:type="dxa"/>
            <w:right w:w="0" w:type="dxa"/>
          </w:tblCellMar>
        </w:tblPrEx>
        <w:trPr>
          <w:cantSplit/>
          <w:trHeight w:val="397" w:hRule="atLeast"/>
        </w:trPr>
        <w:tc>
          <w:tcPr>
            <w:tcW w:w="1509" w:type="pct"/>
            <w:vMerge w:val="continue"/>
            <w:tcBorders>
              <w:top w:val="single" w:color="auto" w:sz="8" w:space="0"/>
              <w:left w:val="single" w:color="auto" w:sz="8" w:space="0"/>
              <w:bottom w:val="single" w:color="auto" w:sz="8" w:space="0"/>
              <w:right w:val="single" w:color="auto" w:sz="8" w:space="0"/>
            </w:tcBorders>
            <w:vAlign w:val="center"/>
          </w:tcPr>
          <w:p>
            <w:pPr>
              <w:widowControl/>
              <w:spacing w:line="360" w:lineRule="auto"/>
              <w:jc w:val="center"/>
              <w:rPr>
                <w:rFonts w:ascii="Verdana" w:hAnsi="Verdana" w:cs="宋体"/>
                <w:kern w:val="0"/>
                <w:szCs w:val="21"/>
              </w:rPr>
            </w:pPr>
          </w:p>
        </w:tc>
        <w:tc>
          <w:tcPr>
            <w:tcW w:w="622" w:type="pct"/>
            <w:tcBorders>
              <w:top w:val="nil"/>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line="360" w:lineRule="auto"/>
              <w:jc w:val="center"/>
              <w:rPr>
                <w:rFonts w:ascii="宋体" w:hAnsi="宋体" w:cs="宋体"/>
                <w:kern w:val="0"/>
                <w:szCs w:val="21"/>
              </w:rPr>
            </w:pPr>
            <w:r>
              <w:rPr>
                <w:rFonts w:hint="eastAsia" w:ascii="宋体" w:hAnsi="宋体" w:cs="宋体"/>
                <w:kern w:val="0"/>
                <w:szCs w:val="21"/>
              </w:rPr>
              <w:t>本季度</w:t>
            </w:r>
          </w:p>
          <w:p>
            <w:pPr>
              <w:widowControl/>
              <w:spacing w:line="360" w:lineRule="auto"/>
              <w:jc w:val="center"/>
              <w:rPr>
                <w:rFonts w:ascii="宋体" w:hAnsi="宋体" w:cs="宋体"/>
                <w:kern w:val="0"/>
                <w:szCs w:val="21"/>
              </w:rPr>
            </w:pPr>
            <w:r>
              <w:rPr>
                <w:rFonts w:hint="eastAsia" w:ascii="宋体" w:hAnsi="宋体" w:cs="宋体"/>
                <w:kern w:val="0"/>
                <w:szCs w:val="21"/>
              </w:rPr>
              <w:t>需求人数（人）</w:t>
            </w:r>
          </w:p>
        </w:tc>
        <w:tc>
          <w:tcPr>
            <w:tcW w:w="725" w:type="pct"/>
            <w:tcBorders>
              <w:top w:val="nil"/>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line="360" w:lineRule="auto"/>
              <w:jc w:val="center"/>
              <w:rPr>
                <w:rFonts w:ascii="宋体" w:hAnsi="宋体" w:cs="宋体"/>
                <w:kern w:val="0"/>
                <w:szCs w:val="21"/>
              </w:rPr>
            </w:pPr>
            <w:r>
              <w:rPr>
                <w:rFonts w:hint="eastAsia" w:ascii="宋体" w:hAnsi="宋体" w:cs="宋体"/>
                <w:kern w:val="0"/>
                <w:szCs w:val="21"/>
              </w:rPr>
              <w:t>本季度</w:t>
            </w:r>
          </w:p>
          <w:p>
            <w:pPr>
              <w:widowControl/>
              <w:spacing w:line="360" w:lineRule="auto"/>
              <w:jc w:val="center"/>
              <w:rPr>
                <w:rFonts w:ascii="宋体" w:hAnsi="宋体" w:cs="宋体"/>
                <w:kern w:val="0"/>
                <w:szCs w:val="21"/>
              </w:rPr>
            </w:pPr>
            <w:r>
              <w:rPr>
                <w:rFonts w:hint="eastAsia" w:ascii="宋体" w:hAnsi="宋体" w:cs="宋体"/>
                <w:kern w:val="0"/>
                <w:szCs w:val="21"/>
              </w:rPr>
              <w:t>需求比重  （%）</w:t>
            </w:r>
          </w:p>
        </w:tc>
        <w:tc>
          <w:tcPr>
            <w:tcW w:w="622" w:type="pct"/>
            <w:tcBorders>
              <w:top w:val="nil"/>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line="360" w:lineRule="auto"/>
              <w:jc w:val="center"/>
              <w:rPr>
                <w:rFonts w:ascii="宋体" w:hAnsi="宋体" w:cs="宋体"/>
                <w:kern w:val="0"/>
                <w:szCs w:val="21"/>
              </w:rPr>
            </w:pPr>
            <w:r>
              <w:rPr>
                <w:rFonts w:hint="eastAsia" w:ascii="宋体" w:hAnsi="宋体" w:cs="宋体"/>
                <w:kern w:val="0"/>
                <w:szCs w:val="21"/>
              </w:rPr>
              <w:t>本季度</w:t>
            </w:r>
          </w:p>
          <w:p>
            <w:pPr>
              <w:widowControl/>
              <w:spacing w:line="360" w:lineRule="auto"/>
              <w:jc w:val="center"/>
              <w:rPr>
                <w:rFonts w:ascii="宋体" w:hAnsi="宋体" w:cs="宋体"/>
                <w:kern w:val="0"/>
                <w:szCs w:val="21"/>
              </w:rPr>
            </w:pPr>
            <w:r>
              <w:rPr>
                <w:rFonts w:hint="eastAsia" w:ascii="宋体" w:hAnsi="宋体" w:cs="宋体"/>
                <w:kern w:val="0"/>
                <w:szCs w:val="21"/>
              </w:rPr>
              <w:t>求职人数  （人）</w:t>
            </w:r>
          </w:p>
        </w:tc>
        <w:tc>
          <w:tcPr>
            <w:tcW w:w="725" w:type="pct"/>
            <w:tcBorders>
              <w:top w:val="nil"/>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line="360" w:lineRule="auto"/>
              <w:jc w:val="center"/>
              <w:rPr>
                <w:rFonts w:ascii="宋体" w:hAnsi="宋体" w:cs="宋体"/>
                <w:kern w:val="0"/>
                <w:szCs w:val="21"/>
              </w:rPr>
            </w:pPr>
            <w:r>
              <w:rPr>
                <w:rFonts w:hint="eastAsia" w:ascii="宋体" w:hAnsi="宋体" w:cs="宋体"/>
                <w:kern w:val="0"/>
                <w:szCs w:val="21"/>
              </w:rPr>
              <w:t>本季度</w:t>
            </w:r>
          </w:p>
          <w:p>
            <w:pPr>
              <w:widowControl/>
              <w:spacing w:line="360" w:lineRule="auto"/>
              <w:jc w:val="center"/>
              <w:rPr>
                <w:rFonts w:ascii="宋体" w:hAnsi="宋体" w:cs="宋体"/>
                <w:kern w:val="0"/>
                <w:szCs w:val="21"/>
              </w:rPr>
            </w:pPr>
            <w:r>
              <w:rPr>
                <w:rFonts w:hint="eastAsia" w:ascii="宋体" w:hAnsi="宋体" w:cs="宋体"/>
                <w:kern w:val="0"/>
                <w:szCs w:val="21"/>
              </w:rPr>
              <w:t>求职比重  （%）</w:t>
            </w:r>
          </w:p>
        </w:tc>
        <w:tc>
          <w:tcPr>
            <w:tcW w:w="798" w:type="pct"/>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line="360" w:lineRule="auto"/>
              <w:jc w:val="center"/>
              <w:rPr>
                <w:rFonts w:ascii="宋体" w:hAnsi="宋体" w:cs="宋体"/>
                <w:kern w:val="0"/>
                <w:szCs w:val="21"/>
              </w:rPr>
            </w:pPr>
            <w:r>
              <w:rPr>
                <w:rFonts w:hint="eastAsia" w:ascii="宋体" w:hAnsi="宋体" w:cs="宋体"/>
                <w:kern w:val="0"/>
                <w:szCs w:val="21"/>
              </w:rPr>
              <w:t>本季度</w:t>
            </w:r>
          </w:p>
          <w:p>
            <w:pPr>
              <w:widowControl/>
              <w:spacing w:line="360" w:lineRule="auto"/>
              <w:jc w:val="center"/>
              <w:rPr>
                <w:rFonts w:ascii="宋体" w:hAnsi="宋体" w:cs="宋体"/>
                <w:kern w:val="0"/>
                <w:szCs w:val="21"/>
              </w:rPr>
            </w:pPr>
            <w:r>
              <w:rPr>
                <w:rFonts w:hint="eastAsia" w:ascii="宋体" w:hAnsi="宋体" w:cs="宋体"/>
                <w:kern w:val="0"/>
                <w:szCs w:val="21"/>
              </w:rPr>
              <w:t>求人倍率</w:t>
            </w:r>
          </w:p>
        </w:tc>
      </w:tr>
      <w:tr>
        <w:tblPrEx>
          <w:tblCellMar>
            <w:top w:w="0" w:type="dxa"/>
            <w:left w:w="0" w:type="dxa"/>
            <w:bottom w:w="0" w:type="dxa"/>
            <w:right w:w="0" w:type="dxa"/>
          </w:tblCellMar>
        </w:tblPrEx>
        <w:trPr>
          <w:trHeight w:val="630" w:hRule="atLeast"/>
        </w:trPr>
        <w:tc>
          <w:tcPr>
            <w:tcW w:w="1509"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单位负责人</w:t>
            </w:r>
          </w:p>
        </w:tc>
        <w:tc>
          <w:tcPr>
            <w:tcW w:w="863"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152</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0.31%</w:t>
            </w:r>
          </w:p>
        </w:tc>
        <w:tc>
          <w:tcPr>
            <w:tcW w:w="862"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97</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0.25%</w:t>
            </w:r>
          </w:p>
        </w:tc>
        <w:tc>
          <w:tcPr>
            <w:tcW w:w="1105"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1.57 </w:t>
            </w:r>
          </w:p>
        </w:tc>
      </w:tr>
      <w:tr>
        <w:tblPrEx>
          <w:tblCellMar>
            <w:top w:w="0" w:type="dxa"/>
            <w:left w:w="0" w:type="dxa"/>
            <w:bottom w:w="0" w:type="dxa"/>
            <w:right w:w="0" w:type="dxa"/>
          </w:tblCellMar>
        </w:tblPrEx>
        <w:trPr>
          <w:trHeight w:val="630" w:hRule="atLeast"/>
        </w:trPr>
        <w:tc>
          <w:tcPr>
            <w:tcW w:w="1509"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专业技术人员</w:t>
            </w:r>
          </w:p>
        </w:tc>
        <w:tc>
          <w:tcPr>
            <w:tcW w:w="863"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4228</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8.58%</w:t>
            </w:r>
          </w:p>
        </w:tc>
        <w:tc>
          <w:tcPr>
            <w:tcW w:w="862"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3512</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9.04%</w:t>
            </w:r>
          </w:p>
        </w:tc>
        <w:tc>
          <w:tcPr>
            <w:tcW w:w="1105"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1.20 </w:t>
            </w:r>
          </w:p>
        </w:tc>
      </w:tr>
      <w:tr>
        <w:tblPrEx>
          <w:tblCellMar>
            <w:top w:w="0" w:type="dxa"/>
            <w:left w:w="0" w:type="dxa"/>
            <w:bottom w:w="0" w:type="dxa"/>
            <w:right w:w="0" w:type="dxa"/>
          </w:tblCellMar>
        </w:tblPrEx>
        <w:trPr>
          <w:trHeight w:val="630" w:hRule="atLeast"/>
        </w:trPr>
        <w:tc>
          <w:tcPr>
            <w:tcW w:w="1509"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办事人员和有关人员</w:t>
            </w:r>
          </w:p>
        </w:tc>
        <w:tc>
          <w:tcPr>
            <w:tcW w:w="863"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3142</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6.38%</w:t>
            </w:r>
          </w:p>
        </w:tc>
        <w:tc>
          <w:tcPr>
            <w:tcW w:w="862"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2204</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5.67%</w:t>
            </w:r>
          </w:p>
        </w:tc>
        <w:tc>
          <w:tcPr>
            <w:tcW w:w="1105"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1.43 </w:t>
            </w:r>
          </w:p>
        </w:tc>
      </w:tr>
      <w:tr>
        <w:tblPrEx>
          <w:tblCellMar>
            <w:top w:w="0" w:type="dxa"/>
            <w:left w:w="0" w:type="dxa"/>
            <w:bottom w:w="0" w:type="dxa"/>
            <w:right w:w="0" w:type="dxa"/>
          </w:tblCellMar>
        </w:tblPrEx>
        <w:trPr>
          <w:trHeight w:val="630" w:hRule="atLeast"/>
        </w:trPr>
        <w:tc>
          <w:tcPr>
            <w:tcW w:w="1509"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商业和服务业人员</w:t>
            </w:r>
          </w:p>
        </w:tc>
        <w:tc>
          <w:tcPr>
            <w:tcW w:w="863"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2"/>
                <w:szCs w:val="22"/>
              </w:rPr>
            </w:pPr>
            <w:r>
              <w:rPr>
                <w:rFonts w:hint="default" w:ascii="Times New Roman" w:hAnsi="Times New Roman" w:eastAsia="宋体" w:cs="Times New Roman"/>
                <w:i w:val="0"/>
                <w:iCs w:val="0"/>
                <w:color w:val="FF0000"/>
                <w:kern w:val="0"/>
                <w:sz w:val="22"/>
                <w:szCs w:val="22"/>
                <w:u w:val="none"/>
                <w:lang w:val="en-US" w:eastAsia="zh-CN" w:bidi="ar"/>
              </w:rPr>
              <w:t>6379</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12.95%</w:t>
            </w:r>
          </w:p>
        </w:tc>
        <w:tc>
          <w:tcPr>
            <w:tcW w:w="862"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2"/>
                <w:szCs w:val="22"/>
              </w:rPr>
            </w:pPr>
            <w:r>
              <w:rPr>
                <w:rFonts w:hint="default" w:ascii="Times New Roman" w:hAnsi="Times New Roman" w:eastAsia="宋体" w:cs="Times New Roman"/>
                <w:i w:val="0"/>
                <w:iCs w:val="0"/>
                <w:color w:val="FF0000"/>
                <w:kern w:val="0"/>
                <w:sz w:val="22"/>
                <w:szCs w:val="22"/>
                <w:u w:val="none"/>
                <w:lang w:val="en-US" w:eastAsia="zh-CN" w:bidi="ar"/>
              </w:rPr>
              <w:t>4924</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12.68%</w:t>
            </w:r>
          </w:p>
        </w:tc>
        <w:tc>
          <w:tcPr>
            <w:tcW w:w="1105"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2"/>
                <w:szCs w:val="22"/>
              </w:rPr>
            </w:pPr>
            <w:r>
              <w:rPr>
                <w:rFonts w:hint="default" w:ascii="Times New Roman" w:hAnsi="Times New Roman" w:eastAsia="宋体" w:cs="Times New Roman"/>
                <w:i w:val="0"/>
                <w:iCs w:val="0"/>
                <w:color w:val="FF0000"/>
                <w:kern w:val="0"/>
                <w:sz w:val="22"/>
                <w:szCs w:val="22"/>
                <w:u w:val="none"/>
                <w:lang w:val="en-US" w:eastAsia="zh-CN" w:bidi="ar"/>
              </w:rPr>
              <w:t xml:space="preserve">1.30 </w:t>
            </w:r>
          </w:p>
        </w:tc>
      </w:tr>
      <w:tr>
        <w:tblPrEx>
          <w:tblCellMar>
            <w:top w:w="0" w:type="dxa"/>
            <w:left w:w="0" w:type="dxa"/>
            <w:bottom w:w="0" w:type="dxa"/>
            <w:right w:w="0" w:type="dxa"/>
          </w:tblCellMar>
        </w:tblPrEx>
        <w:trPr>
          <w:trHeight w:val="630" w:hRule="atLeast"/>
        </w:trPr>
        <w:tc>
          <w:tcPr>
            <w:tcW w:w="1509"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18"/>
                <w:szCs w:val="18"/>
              </w:rPr>
            </w:pPr>
            <w:r>
              <w:rPr>
                <w:rFonts w:hint="eastAsia" w:ascii="仿宋_GB2312" w:hAnsi="Verdana" w:cs="宋体"/>
                <w:kern w:val="0"/>
                <w:sz w:val="18"/>
                <w:szCs w:val="18"/>
              </w:rPr>
              <w:t>农林牧渔水利生产人员</w:t>
            </w:r>
          </w:p>
        </w:tc>
        <w:tc>
          <w:tcPr>
            <w:tcW w:w="863"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862"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05"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w:t>
            </w:r>
          </w:p>
        </w:tc>
      </w:tr>
      <w:tr>
        <w:tblPrEx>
          <w:tblCellMar>
            <w:top w:w="0" w:type="dxa"/>
            <w:left w:w="0" w:type="dxa"/>
            <w:bottom w:w="0" w:type="dxa"/>
            <w:right w:w="0" w:type="dxa"/>
          </w:tblCellMar>
        </w:tblPrEx>
        <w:trPr>
          <w:trHeight w:val="630" w:hRule="atLeast"/>
        </w:trPr>
        <w:tc>
          <w:tcPr>
            <w:tcW w:w="1509"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生产运输设备操作工</w:t>
            </w:r>
          </w:p>
        </w:tc>
        <w:tc>
          <w:tcPr>
            <w:tcW w:w="863"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2"/>
                <w:szCs w:val="22"/>
              </w:rPr>
            </w:pPr>
            <w:r>
              <w:rPr>
                <w:rFonts w:hint="default" w:ascii="Times New Roman" w:hAnsi="Times New Roman" w:eastAsia="宋体" w:cs="Times New Roman"/>
                <w:i w:val="0"/>
                <w:iCs w:val="0"/>
                <w:color w:val="FF0000"/>
                <w:kern w:val="0"/>
                <w:sz w:val="22"/>
                <w:szCs w:val="22"/>
                <w:u w:val="none"/>
                <w:lang w:val="en-US" w:eastAsia="zh-CN" w:bidi="ar"/>
              </w:rPr>
              <w:t>32861</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66.69%</w:t>
            </w:r>
          </w:p>
        </w:tc>
        <w:tc>
          <w:tcPr>
            <w:tcW w:w="862"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2"/>
                <w:szCs w:val="22"/>
              </w:rPr>
            </w:pPr>
            <w:r>
              <w:rPr>
                <w:rFonts w:hint="default" w:ascii="Times New Roman" w:hAnsi="Times New Roman" w:eastAsia="宋体" w:cs="Times New Roman"/>
                <w:i w:val="0"/>
                <w:iCs w:val="0"/>
                <w:color w:val="FF0000"/>
                <w:kern w:val="0"/>
                <w:sz w:val="22"/>
                <w:szCs w:val="22"/>
                <w:u w:val="none"/>
                <w:lang w:val="en-US" w:eastAsia="zh-CN" w:bidi="ar"/>
              </w:rPr>
              <w:t>25997</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66.92%</w:t>
            </w:r>
          </w:p>
        </w:tc>
        <w:tc>
          <w:tcPr>
            <w:tcW w:w="1105"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FF0000"/>
                <w:sz w:val="22"/>
                <w:szCs w:val="22"/>
              </w:rPr>
            </w:pPr>
            <w:r>
              <w:rPr>
                <w:rFonts w:hint="default" w:ascii="Times New Roman" w:hAnsi="Times New Roman" w:eastAsia="宋体" w:cs="Times New Roman"/>
                <w:i w:val="0"/>
                <w:iCs w:val="0"/>
                <w:color w:val="FF0000"/>
                <w:kern w:val="0"/>
                <w:sz w:val="22"/>
                <w:szCs w:val="22"/>
                <w:u w:val="none"/>
                <w:lang w:val="en-US" w:eastAsia="zh-CN" w:bidi="ar"/>
              </w:rPr>
              <w:t xml:space="preserve">1.26 </w:t>
            </w:r>
          </w:p>
        </w:tc>
      </w:tr>
      <w:tr>
        <w:tblPrEx>
          <w:tblCellMar>
            <w:top w:w="0" w:type="dxa"/>
            <w:left w:w="0" w:type="dxa"/>
            <w:bottom w:w="0" w:type="dxa"/>
            <w:right w:w="0" w:type="dxa"/>
          </w:tblCellMar>
        </w:tblPrEx>
        <w:trPr>
          <w:trHeight w:val="630" w:hRule="atLeast"/>
        </w:trPr>
        <w:tc>
          <w:tcPr>
            <w:tcW w:w="1509"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其他</w:t>
            </w:r>
          </w:p>
        </w:tc>
        <w:tc>
          <w:tcPr>
            <w:tcW w:w="863"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2513</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5.10%</w:t>
            </w:r>
          </w:p>
        </w:tc>
        <w:tc>
          <w:tcPr>
            <w:tcW w:w="862"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2112</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5.44%</w:t>
            </w:r>
          </w:p>
        </w:tc>
        <w:tc>
          <w:tcPr>
            <w:tcW w:w="1105"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1.19 </w:t>
            </w:r>
          </w:p>
        </w:tc>
      </w:tr>
      <w:tr>
        <w:tblPrEx>
          <w:tblCellMar>
            <w:top w:w="0" w:type="dxa"/>
            <w:left w:w="0" w:type="dxa"/>
            <w:bottom w:w="0" w:type="dxa"/>
            <w:right w:w="0" w:type="dxa"/>
          </w:tblCellMar>
        </w:tblPrEx>
        <w:trPr>
          <w:trHeight w:val="630" w:hRule="atLeast"/>
        </w:trPr>
        <w:tc>
          <w:tcPr>
            <w:tcW w:w="1509"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无要求</w:t>
            </w:r>
          </w:p>
        </w:tc>
        <w:tc>
          <w:tcPr>
            <w:tcW w:w="863"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862"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105"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w:t>
            </w:r>
          </w:p>
        </w:tc>
      </w:tr>
      <w:tr>
        <w:tblPrEx>
          <w:tblCellMar>
            <w:top w:w="0" w:type="dxa"/>
            <w:left w:w="0" w:type="dxa"/>
            <w:bottom w:w="0" w:type="dxa"/>
            <w:right w:w="0" w:type="dxa"/>
          </w:tblCellMar>
        </w:tblPrEx>
        <w:trPr>
          <w:trHeight w:val="630" w:hRule="atLeast"/>
        </w:trPr>
        <w:tc>
          <w:tcPr>
            <w:tcW w:w="1509"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合计</w:t>
            </w:r>
          </w:p>
        </w:tc>
        <w:tc>
          <w:tcPr>
            <w:tcW w:w="863"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49275</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100.00%</w:t>
            </w:r>
          </w:p>
        </w:tc>
        <w:tc>
          <w:tcPr>
            <w:tcW w:w="862"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38846</w:t>
            </w:r>
          </w:p>
        </w:tc>
        <w:tc>
          <w:tcPr>
            <w:tcW w:w="100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100.00%</w:t>
            </w:r>
          </w:p>
        </w:tc>
        <w:tc>
          <w:tcPr>
            <w:tcW w:w="1105"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1.27 </w:t>
            </w:r>
          </w:p>
        </w:tc>
      </w:tr>
    </w:tbl>
    <w:p>
      <w:pPr>
        <w:adjustRightInd w:val="0"/>
        <w:snapToGrid w:val="0"/>
        <w:spacing w:line="360" w:lineRule="auto"/>
        <w:jc w:val="center"/>
        <w:rPr>
          <w:rFonts w:ascii="宋体" w:hAnsi="宋体"/>
          <w:color w:val="FF0000"/>
          <w:szCs w:val="21"/>
        </w:rPr>
      </w:pPr>
    </w:p>
    <w:tbl>
      <w:tblPr>
        <w:tblStyle w:val="6"/>
        <w:tblW w:w="9673" w:type="dxa"/>
        <w:tblInd w:w="93" w:type="dxa"/>
        <w:tblLayout w:type="autofit"/>
        <w:tblCellMar>
          <w:top w:w="0" w:type="dxa"/>
          <w:left w:w="108" w:type="dxa"/>
          <w:bottom w:w="0" w:type="dxa"/>
          <w:right w:w="108" w:type="dxa"/>
        </w:tblCellMar>
      </w:tblPr>
      <w:tblGrid>
        <w:gridCol w:w="9673"/>
      </w:tblGrid>
      <w:tr>
        <w:tblPrEx>
          <w:tblCellMar>
            <w:top w:w="0" w:type="dxa"/>
            <w:left w:w="108" w:type="dxa"/>
            <w:bottom w:w="0" w:type="dxa"/>
            <w:right w:w="108" w:type="dxa"/>
          </w:tblCellMar>
        </w:tblPrEx>
        <w:trPr>
          <w:trHeight w:val="855" w:hRule="atLeast"/>
        </w:trPr>
        <w:tc>
          <w:tcPr>
            <w:tcW w:w="9673" w:type="dxa"/>
            <w:tcBorders>
              <w:top w:val="nil"/>
              <w:left w:val="nil"/>
              <w:bottom w:val="nil"/>
              <w:right w:val="nil"/>
            </w:tcBorders>
            <w:shd w:val="clear" w:color="auto" w:fill="auto"/>
            <w:vAlign w:val="center"/>
          </w:tcPr>
          <w:p>
            <w:pPr>
              <w:widowControl/>
              <w:spacing w:line="360" w:lineRule="auto"/>
              <w:ind w:right="252" w:rightChars="120"/>
              <w:jc w:val="center"/>
              <w:rPr>
                <w:rFonts w:ascii="宋体" w:hAnsi="宋体"/>
                <w:szCs w:val="21"/>
              </w:rPr>
            </w:pPr>
            <w:r>
              <w:rPr>
                <w:rFonts w:hint="eastAsia" w:ascii="宋体" w:hAnsi="宋体"/>
                <w:szCs w:val="21"/>
              </w:rPr>
              <w:t>表6 需求大于求职缺口最大的前十个职业</w:t>
            </w:r>
          </w:p>
          <w:p>
            <w:pPr>
              <w:widowControl/>
              <w:spacing w:line="360" w:lineRule="auto"/>
              <w:ind w:right="252" w:rightChars="120"/>
              <w:jc w:val="center"/>
              <w:rPr>
                <w:rFonts w:ascii="宋体" w:hAnsi="宋体"/>
                <w:color w:val="FF0000"/>
                <w:szCs w:val="21"/>
              </w:rPr>
            </w:pPr>
          </w:p>
          <w:tbl>
            <w:tblPr>
              <w:tblStyle w:val="6"/>
              <w:tblW w:w="8859" w:type="dxa"/>
              <w:tblInd w:w="0" w:type="dxa"/>
              <w:tblLayout w:type="autofit"/>
              <w:tblCellMar>
                <w:top w:w="0" w:type="dxa"/>
                <w:left w:w="108" w:type="dxa"/>
                <w:bottom w:w="0" w:type="dxa"/>
                <w:right w:w="108" w:type="dxa"/>
              </w:tblCellMar>
            </w:tblPr>
            <w:tblGrid>
              <w:gridCol w:w="458"/>
              <w:gridCol w:w="1872"/>
              <w:gridCol w:w="1494"/>
              <w:gridCol w:w="1519"/>
              <w:gridCol w:w="1350"/>
              <w:gridCol w:w="1012"/>
              <w:gridCol w:w="1183"/>
            </w:tblGrid>
            <w:tr>
              <w:tblPrEx>
                <w:tblCellMar>
                  <w:top w:w="0" w:type="dxa"/>
                  <w:left w:w="108" w:type="dxa"/>
                  <w:bottom w:w="0" w:type="dxa"/>
                  <w:right w:w="108" w:type="dxa"/>
                </w:tblCellMar>
              </w:tblPrEx>
              <w:trPr>
                <w:trHeight w:val="447" w:hRule="atLeast"/>
              </w:trPr>
              <w:tc>
                <w:tcPr>
                  <w:tcW w:w="2301"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职业</w:t>
                  </w:r>
                </w:p>
              </w:tc>
              <w:tc>
                <w:tcPr>
                  <w:tcW w:w="149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职业代码</w:t>
                  </w:r>
                </w:p>
              </w:tc>
              <w:tc>
                <w:tcPr>
                  <w:tcW w:w="5064" w:type="dxa"/>
                  <w:gridSpan w:val="4"/>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劳动力供求人数比较</w:t>
                  </w:r>
                </w:p>
              </w:tc>
            </w:tr>
            <w:tr>
              <w:tblPrEx>
                <w:tblCellMar>
                  <w:top w:w="0" w:type="dxa"/>
                  <w:left w:w="108" w:type="dxa"/>
                  <w:bottom w:w="0" w:type="dxa"/>
                  <w:right w:w="108" w:type="dxa"/>
                </w:tblCellMar>
              </w:tblPrEx>
              <w:trPr>
                <w:trHeight w:val="447" w:hRule="atLeast"/>
              </w:trPr>
              <w:tc>
                <w:tcPr>
                  <w:tcW w:w="230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ascii="宋体" w:hAnsi="宋体" w:cs="宋体"/>
                      <w:b/>
                      <w:bCs/>
                      <w:kern w:val="0"/>
                      <w:sz w:val="24"/>
                    </w:rPr>
                  </w:pPr>
                </w:p>
              </w:tc>
              <w:tc>
                <w:tcPr>
                  <w:tcW w:w="1494"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ascii="宋体" w:hAnsi="宋体" w:cs="宋体"/>
                      <w:b/>
                      <w:bCs/>
                      <w:kern w:val="0"/>
                      <w:sz w:val="24"/>
                    </w:rPr>
                  </w:pPr>
                </w:p>
              </w:tc>
              <w:tc>
                <w:tcPr>
                  <w:tcW w:w="1519"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需求人数</w:t>
                  </w:r>
                </w:p>
              </w:tc>
              <w:tc>
                <w:tcPr>
                  <w:tcW w:w="1350"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求职人数</w:t>
                  </w:r>
                </w:p>
              </w:tc>
              <w:tc>
                <w:tcPr>
                  <w:tcW w:w="1012"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缺口数</w:t>
                  </w:r>
                </w:p>
              </w:tc>
              <w:tc>
                <w:tcPr>
                  <w:tcW w:w="1183"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求人倍率</w:t>
                  </w:r>
                </w:p>
              </w:tc>
            </w:tr>
            <w:tr>
              <w:tblPrEx>
                <w:tblCellMar>
                  <w:top w:w="0" w:type="dxa"/>
                  <w:left w:w="108" w:type="dxa"/>
                  <w:bottom w:w="0" w:type="dxa"/>
                  <w:right w:w="108" w:type="dxa"/>
                </w:tblCellMar>
              </w:tblPrEx>
              <w:trPr>
                <w:trHeight w:val="447" w:hRule="atLeast"/>
              </w:trPr>
              <w:tc>
                <w:tcPr>
                  <w:tcW w:w="429"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1</w:t>
                  </w:r>
                </w:p>
              </w:tc>
              <w:tc>
                <w:tcPr>
                  <w:tcW w:w="187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纺纱工</w:t>
                  </w:r>
                </w:p>
              </w:tc>
              <w:tc>
                <w:tcPr>
                  <w:tcW w:w="14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6-04-02-01</w:t>
                  </w:r>
                </w:p>
              </w:tc>
              <w:tc>
                <w:tcPr>
                  <w:tcW w:w="15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653</w:t>
                  </w:r>
                </w:p>
              </w:tc>
              <w:tc>
                <w:tcPr>
                  <w:tcW w:w="13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348</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305</w:t>
                  </w:r>
                </w:p>
              </w:tc>
              <w:tc>
                <w:tcPr>
                  <w:tcW w:w="11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1.88 </w:t>
                  </w:r>
                </w:p>
              </w:tc>
            </w:tr>
            <w:tr>
              <w:tblPrEx>
                <w:tblCellMar>
                  <w:top w:w="0" w:type="dxa"/>
                  <w:left w:w="108" w:type="dxa"/>
                  <w:bottom w:w="0" w:type="dxa"/>
                  <w:right w:w="108" w:type="dxa"/>
                </w:tblCellMar>
              </w:tblPrEx>
              <w:trPr>
                <w:trHeight w:val="447" w:hRule="atLeast"/>
              </w:trPr>
              <w:tc>
                <w:tcPr>
                  <w:tcW w:w="429"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2</w:t>
                  </w:r>
                </w:p>
              </w:tc>
              <w:tc>
                <w:tcPr>
                  <w:tcW w:w="187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车工</w:t>
                  </w:r>
                </w:p>
              </w:tc>
              <w:tc>
                <w:tcPr>
                  <w:tcW w:w="14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6-18-01-01</w:t>
                  </w:r>
                </w:p>
              </w:tc>
              <w:tc>
                <w:tcPr>
                  <w:tcW w:w="15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598</w:t>
                  </w:r>
                </w:p>
              </w:tc>
              <w:tc>
                <w:tcPr>
                  <w:tcW w:w="13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305</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293</w:t>
                  </w:r>
                </w:p>
              </w:tc>
              <w:tc>
                <w:tcPr>
                  <w:tcW w:w="11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1.96 </w:t>
                  </w:r>
                </w:p>
              </w:tc>
            </w:tr>
            <w:tr>
              <w:tblPrEx>
                <w:tblCellMar>
                  <w:top w:w="0" w:type="dxa"/>
                  <w:left w:w="108" w:type="dxa"/>
                  <w:bottom w:w="0" w:type="dxa"/>
                  <w:right w:w="108" w:type="dxa"/>
                </w:tblCellMar>
              </w:tblPrEx>
              <w:trPr>
                <w:trHeight w:val="447" w:hRule="atLeast"/>
              </w:trPr>
              <w:tc>
                <w:tcPr>
                  <w:tcW w:w="429"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3</w:t>
                  </w:r>
                </w:p>
              </w:tc>
              <w:tc>
                <w:tcPr>
                  <w:tcW w:w="187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缝纫工</w:t>
                  </w:r>
                </w:p>
              </w:tc>
              <w:tc>
                <w:tcPr>
                  <w:tcW w:w="14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6-05-01-03</w:t>
                  </w:r>
                </w:p>
              </w:tc>
              <w:tc>
                <w:tcPr>
                  <w:tcW w:w="15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405</w:t>
                  </w:r>
                </w:p>
              </w:tc>
              <w:tc>
                <w:tcPr>
                  <w:tcW w:w="13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287</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118</w:t>
                  </w:r>
                </w:p>
              </w:tc>
              <w:tc>
                <w:tcPr>
                  <w:tcW w:w="11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1.41 </w:t>
                  </w:r>
                </w:p>
              </w:tc>
            </w:tr>
            <w:tr>
              <w:tblPrEx>
                <w:tblCellMar>
                  <w:top w:w="0" w:type="dxa"/>
                  <w:left w:w="108" w:type="dxa"/>
                  <w:bottom w:w="0" w:type="dxa"/>
                  <w:right w:w="108" w:type="dxa"/>
                </w:tblCellMar>
              </w:tblPrEx>
              <w:trPr>
                <w:trHeight w:val="447" w:hRule="atLeast"/>
              </w:trPr>
              <w:tc>
                <w:tcPr>
                  <w:tcW w:w="429"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4</w:t>
                  </w:r>
                </w:p>
              </w:tc>
              <w:tc>
                <w:tcPr>
                  <w:tcW w:w="187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电工</w:t>
                  </w:r>
                </w:p>
              </w:tc>
              <w:tc>
                <w:tcPr>
                  <w:tcW w:w="14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6-31-01-03</w:t>
                  </w:r>
                </w:p>
              </w:tc>
              <w:tc>
                <w:tcPr>
                  <w:tcW w:w="1519" w:type="dxa"/>
                  <w:tcBorders>
                    <w:top w:val="nil"/>
                    <w:left w:val="nil"/>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312</w:t>
                  </w:r>
                </w:p>
              </w:tc>
              <w:tc>
                <w:tcPr>
                  <w:tcW w:w="13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189</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123</w:t>
                  </w:r>
                </w:p>
              </w:tc>
              <w:tc>
                <w:tcPr>
                  <w:tcW w:w="11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1.65 </w:t>
                  </w:r>
                </w:p>
              </w:tc>
            </w:tr>
            <w:tr>
              <w:tblPrEx>
                <w:tblCellMar>
                  <w:top w:w="0" w:type="dxa"/>
                  <w:left w:w="108" w:type="dxa"/>
                  <w:bottom w:w="0" w:type="dxa"/>
                  <w:right w:w="108" w:type="dxa"/>
                </w:tblCellMar>
              </w:tblPrEx>
              <w:trPr>
                <w:trHeight w:val="447" w:hRule="atLeast"/>
              </w:trPr>
              <w:tc>
                <w:tcPr>
                  <w:tcW w:w="429"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5</w:t>
                  </w:r>
                </w:p>
              </w:tc>
              <w:tc>
                <w:tcPr>
                  <w:tcW w:w="187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焊工</w:t>
                  </w:r>
                </w:p>
              </w:tc>
              <w:tc>
                <w:tcPr>
                  <w:tcW w:w="14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6-18-02-04</w:t>
                  </w:r>
                </w:p>
              </w:tc>
              <w:tc>
                <w:tcPr>
                  <w:tcW w:w="1519"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304</w:t>
                  </w:r>
                </w:p>
              </w:tc>
              <w:tc>
                <w:tcPr>
                  <w:tcW w:w="13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154</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150</w:t>
                  </w:r>
                </w:p>
              </w:tc>
              <w:tc>
                <w:tcPr>
                  <w:tcW w:w="11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1.97 </w:t>
                  </w:r>
                </w:p>
              </w:tc>
            </w:tr>
            <w:tr>
              <w:tblPrEx>
                <w:tblCellMar>
                  <w:top w:w="0" w:type="dxa"/>
                  <w:left w:w="108" w:type="dxa"/>
                  <w:bottom w:w="0" w:type="dxa"/>
                  <w:right w:w="108" w:type="dxa"/>
                </w:tblCellMar>
              </w:tblPrEx>
              <w:trPr>
                <w:trHeight w:val="447" w:hRule="atLeast"/>
              </w:trPr>
              <w:tc>
                <w:tcPr>
                  <w:tcW w:w="429"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6</w:t>
                  </w:r>
                </w:p>
              </w:tc>
              <w:tc>
                <w:tcPr>
                  <w:tcW w:w="187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营销员</w:t>
                  </w:r>
                </w:p>
              </w:tc>
              <w:tc>
                <w:tcPr>
                  <w:tcW w:w="1494"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4-01-02-01</w:t>
                  </w:r>
                </w:p>
              </w:tc>
              <w:tc>
                <w:tcPr>
                  <w:tcW w:w="1519" w:type="dxa"/>
                  <w:tcBorders>
                    <w:top w:val="nil"/>
                    <w:left w:val="single" w:color="auto" w:sz="4" w:space="0"/>
                    <w:bottom w:val="nil"/>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494</w:t>
                  </w:r>
                </w:p>
              </w:tc>
              <w:tc>
                <w:tcPr>
                  <w:tcW w:w="13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326</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168</w:t>
                  </w:r>
                </w:p>
              </w:tc>
              <w:tc>
                <w:tcPr>
                  <w:tcW w:w="11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1.52 </w:t>
                  </w:r>
                </w:p>
              </w:tc>
            </w:tr>
            <w:tr>
              <w:tblPrEx>
                <w:tblCellMar>
                  <w:top w:w="0" w:type="dxa"/>
                  <w:left w:w="108" w:type="dxa"/>
                  <w:bottom w:w="0" w:type="dxa"/>
                  <w:right w:w="108" w:type="dxa"/>
                </w:tblCellMar>
              </w:tblPrEx>
              <w:trPr>
                <w:trHeight w:val="447" w:hRule="atLeast"/>
              </w:trPr>
              <w:tc>
                <w:tcPr>
                  <w:tcW w:w="429"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7</w:t>
                  </w:r>
                </w:p>
              </w:tc>
              <w:tc>
                <w:tcPr>
                  <w:tcW w:w="187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安全员</w:t>
                  </w:r>
                </w:p>
              </w:tc>
              <w:tc>
                <w:tcPr>
                  <w:tcW w:w="149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6-31-06-00</w:t>
                  </w:r>
                </w:p>
              </w:tc>
              <w:tc>
                <w:tcPr>
                  <w:tcW w:w="1519"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391</w:t>
                  </w:r>
                </w:p>
              </w:tc>
              <w:tc>
                <w:tcPr>
                  <w:tcW w:w="13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249</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142</w:t>
                  </w:r>
                </w:p>
              </w:tc>
              <w:tc>
                <w:tcPr>
                  <w:tcW w:w="11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1.57 </w:t>
                  </w:r>
                </w:p>
              </w:tc>
            </w:tr>
            <w:tr>
              <w:tblPrEx>
                <w:tblCellMar>
                  <w:top w:w="0" w:type="dxa"/>
                  <w:left w:w="108" w:type="dxa"/>
                  <w:bottom w:w="0" w:type="dxa"/>
                  <w:right w:w="108" w:type="dxa"/>
                </w:tblCellMar>
              </w:tblPrEx>
              <w:trPr>
                <w:trHeight w:val="447" w:hRule="atLeast"/>
              </w:trPr>
              <w:tc>
                <w:tcPr>
                  <w:tcW w:w="429"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8</w:t>
                  </w:r>
                </w:p>
              </w:tc>
              <w:tc>
                <w:tcPr>
                  <w:tcW w:w="187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行政办事员</w:t>
                  </w:r>
                </w:p>
              </w:tc>
              <w:tc>
                <w:tcPr>
                  <w:tcW w:w="14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3-01-01-01</w:t>
                  </w:r>
                </w:p>
              </w:tc>
              <w:tc>
                <w:tcPr>
                  <w:tcW w:w="15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333</w:t>
                  </w:r>
                </w:p>
              </w:tc>
              <w:tc>
                <w:tcPr>
                  <w:tcW w:w="13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198</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135</w:t>
                  </w:r>
                </w:p>
              </w:tc>
              <w:tc>
                <w:tcPr>
                  <w:tcW w:w="11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1.68 </w:t>
                  </w:r>
                </w:p>
              </w:tc>
            </w:tr>
            <w:tr>
              <w:tblPrEx>
                <w:tblCellMar>
                  <w:top w:w="0" w:type="dxa"/>
                  <w:left w:w="108" w:type="dxa"/>
                  <w:bottom w:w="0" w:type="dxa"/>
                  <w:right w:w="108" w:type="dxa"/>
                </w:tblCellMar>
              </w:tblPrEx>
              <w:trPr>
                <w:trHeight w:val="447" w:hRule="atLeast"/>
              </w:trPr>
              <w:tc>
                <w:tcPr>
                  <w:tcW w:w="429"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9</w:t>
                  </w:r>
                </w:p>
              </w:tc>
              <w:tc>
                <w:tcPr>
                  <w:tcW w:w="187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冲压工</w:t>
                  </w:r>
                </w:p>
              </w:tc>
              <w:tc>
                <w:tcPr>
                  <w:tcW w:w="14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6-18-01-12</w:t>
                  </w:r>
                </w:p>
              </w:tc>
              <w:tc>
                <w:tcPr>
                  <w:tcW w:w="15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438</w:t>
                  </w:r>
                </w:p>
              </w:tc>
              <w:tc>
                <w:tcPr>
                  <w:tcW w:w="13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339</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99</w:t>
                  </w:r>
                </w:p>
              </w:tc>
              <w:tc>
                <w:tcPr>
                  <w:tcW w:w="11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1.29 </w:t>
                  </w:r>
                </w:p>
              </w:tc>
            </w:tr>
            <w:tr>
              <w:tblPrEx>
                <w:tblCellMar>
                  <w:top w:w="0" w:type="dxa"/>
                  <w:left w:w="108" w:type="dxa"/>
                  <w:bottom w:w="0" w:type="dxa"/>
                  <w:right w:w="108" w:type="dxa"/>
                </w:tblCellMar>
              </w:tblPrEx>
              <w:trPr>
                <w:trHeight w:val="457" w:hRule="atLeast"/>
              </w:trPr>
              <w:tc>
                <w:tcPr>
                  <w:tcW w:w="429"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10</w:t>
                  </w:r>
                </w:p>
              </w:tc>
              <w:tc>
                <w:tcPr>
                  <w:tcW w:w="187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铣工</w:t>
                  </w:r>
                </w:p>
              </w:tc>
              <w:tc>
                <w:tcPr>
                  <w:tcW w:w="14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6-18-01-02</w:t>
                  </w:r>
                </w:p>
              </w:tc>
              <w:tc>
                <w:tcPr>
                  <w:tcW w:w="151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317</w:t>
                  </w:r>
                </w:p>
              </w:tc>
              <w:tc>
                <w:tcPr>
                  <w:tcW w:w="13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253</w:t>
                  </w:r>
                </w:p>
              </w:tc>
              <w:tc>
                <w:tcPr>
                  <w:tcW w:w="101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64</w:t>
                  </w:r>
                </w:p>
              </w:tc>
              <w:tc>
                <w:tcPr>
                  <w:tcW w:w="11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1.25 </w:t>
                  </w:r>
                </w:p>
              </w:tc>
            </w:tr>
          </w:tbl>
          <w:p>
            <w:pPr>
              <w:widowControl/>
              <w:spacing w:line="360" w:lineRule="auto"/>
              <w:ind w:right="252" w:rightChars="120"/>
              <w:jc w:val="center"/>
              <w:rPr>
                <w:rFonts w:ascii="宋体" w:hAnsi="宋体" w:cs="宋体"/>
                <w:b/>
                <w:bCs/>
                <w:color w:val="FF0000"/>
                <w:kern w:val="0"/>
                <w:sz w:val="30"/>
                <w:szCs w:val="30"/>
              </w:rPr>
            </w:pPr>
          </w:p>
        </w:tc>
      </w:tr>
    </w:tbl>
    <w:p>
      <w:pPr>
        <w:widowControl/>
        <w:spacing w:before="100" w:beforeAutospacing="1" w:after="100" w:afterAutospacing="1" w:line="360" w:lineRule="auto"/>
        <w:ind w:firstLine="420" w:firstLineChars="200"/>
        <w:jc w:val="left"/>
        <w:rPr>
          <w:rFonts w:ascii="宋体" w:hAnsi="宋体" w:cs="宋体"/>
          <w:kern w:val="0"/>
          <w:szCs w:val="21"/>
        </w:rPr>
      </w:pPr>
    </w:p>
    <w:p>
      <w:pPr>
        <w:adjustRightInd w:val="0"/>
        <w:snapToGrid w:val="0"/>
        <w:spacing w:line="360" w:lineRule="auto"/>
        <w:jc w:val="center"/>
        <w:rPr>
          <w:rFonts w:ascii="宋体" w:hAnsi="宋体"/>
          <w:szCs w:val="21"/>
        </w:rPr>
      </w:pPr>
      <w:r>
        <w:rPr>
          <w:rFonts w:hint="eastAsia" w:ascii="宋体" w:hAnsi="宋体"/>
          <w:szCs w:val="21"/>
        </w:rPr>
        <w:t>表</w:t>
      </w:r>
      <w:r>
        <w:rPr>
          <w:rFonts w:ascii="宋体" w:hAnsi="宋体"/>
          <w:szCs w:val="21"/>
        </w:rPr>
        <w:t>7</w:t>
      </w:r>
      <w:r>
        <w:rPr>
          <w:rFonts w:hint="eastAsia" w:ascii="宋体" w:hAnsi="宋体"/>
          <w:szCs w:val="21"/>
        </w:rPr>
        <w:t>：需求小于求职缺口最大的十个职业</w:t>
      </w:r>
    </w:p>
    <w:tbl>
      <w:tblPr>
        <w:tblStyle w:val="6"/>
        <w:tblW w:w="9555" w:type="dxa"/>
        <w:tblInd w:w="93" w:type="dxa"/>
        <w:tblLayout w:type="autofit"/>
        <w:tblCellMar>
          <w:top w:w="0" w:type="dxa"/>
          <w:left w:w="108" w:type="dxa"/>
          <w:bottom w:w="0" w:type="dxa"/>
          <w:right w:w="108" w:type="dxa"/>
        </w:tblCellMar>
      </w:tblPr>
      <w:tblGrid>
        <w:gridCol w:w="458"/>
        <w:gridCol w:w="2199"/>
        <w:gridCol w:w="1487"/>
        <w:gridCol w:w="1487"/>
        <w:gridCol w:w="1487"/>
        <w:gridCol w:w="1126"/>
        <w:gridCol w:w="1311"/>
      </w:tblGrid>
      <w:tr>
        <w:tblPrEx>
          <w:tblCellMar>
            <w:top w:w="0" w:type="dxa"/>
            <w:left w:w="108" w:type="dxa"/>
            <w:bottom w:w="0" w:type="dxa"/>
            <w:right w:w="108" w:type="dxa"/>
          </w:tblCellMar>
        </w:tblPrEx>
        <w:trPr>
          <w:trHeight w:val="402" w:hRule="atLeast"/>
        </w:trPr>
        <w:tc>
          <w:tcPr>
            <w:tcW w:w="2657"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职业</w:t>
            </w:r>
          </w:p>
        </w:tc>
        <w:tc>
          <w:tcPr>
            <w:tcW w:w="148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职业代码</w:t>
            </w:r>
          </w:p>
        </w:tc>
        <w:tc>
          <w:tcPr>
            <w:tcW w:w="5411" w:type="dxa"/>
            <w:gridSpan w:val="4"/>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劳动力供求人数比较</w:t>
            </w:r>
          </w:p>
        </w:tc>
      </w:tr>
      <w:tr>
        <w:tblPrEx>
          <w:tblCellMar>
            <w:top w:w="0" w:type="dxa"/>
            <w:left w:w="108" w:type="dxa"/>
            <w:bottom w:w="0" w:type="dxa"/>
            <w:right w:w="108" w:type="dxa"/>
          </w:tblCellMar>
        </w:tblPrEx>
        <w:trPr>
          <w:trHeight w:val="390" w:hRule="atLeast"/>
        </w:trPr>
        <w:tc>
          <w:tcPr>
            <w:tcW w:w="265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ascii="宋体" w:hAnsi="宋体" w:cs="宋体"/>
                <w:b/>
                <w:bCs/>
                <w:kern w:val="0"/>
                <w:sz w:val="24"/>
              </w:rPr>
            </w:pPr>
          </w:p>
        </w:tc>
        <w:tc>
          <w:tcPr>
            <w:tcW w:w="14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ascii="宋体" w:hAnsi="宋体" w:cs="宋体"/>
                <w:b/>
                <w:bCs/>
                <w:kern w:val="0"/>
                <w:sz w:val="24"/>
              </w:rPr>
            </w:pPr>
          </w:p>
        </w:tc>
        <w:tc>
          <w:tcPr>
            <w:tcW w:w="1487"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需求人数</w:t>
            </w:r>
          </w:p>
        </w:tc>
        <w:tc>
          <w:tcPr>
            <w:tcW w:w="1487"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求职人数</w:t>
            </w:r>
          </w:p>
        </w:tc>
        <w:tc>
          <w:tcPr>
            <w:tcW w:w="1126"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缺口数</w:t>
            </w:r>
          </w:p>
        </w:tc>
        <w:tc>
          <w:tcPr>
            <w:tcW w:w="1311"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求人倍率</w:t>
            </w:r>
          </w:p>
        </w:tc>
      </w:tr>
      <w:tr>
        <w:tblPrEx>
          <w:tblCellMar>
            <w:top w:w="0" w:type="dxa"/>
            <w:left w:w="108" w:type="dxa"/>
            <w:bottom w:w="0" w:type="dxa"/>
            <w:right w:w="108" w:type="dxa"/>
          </w:tblCellMar>
        </w:tblPrEx>
        <w:trPr>
          <w:trHeight w:val="390" w:hRule="atLeast"/>
        </w:trPr>
        <w:tc>
          <w:tcPr>
            <w:tcW w:w="45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1</w:t>
            </w:r>
          </w:p>
        </w:tc>
        <w:tc>
          <w:tcPr>
            <w:tcW w:w="21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广告设计师</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4-08-08-08</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21</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63</w:t>
            </w:r>
          </w:p>
        </w:tc>
        <w:tc>
          <w:tcPr>
            <w:tcW w:w="112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-42</w:t>
            </w:r>
          </w:p>
        </w:tc>
        <w:tc>
          <w:tcPr>
            <w:tcW w:w="13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0.33 </w:t>
            </w:r>
          </w:p>
        </w:tc>
      </w:tr>
      <w:tr>
        <w:tblPrEx>
          <w:tblCellMar>
            <w:top w:w="0" w:type="dxa"/>
            <w:left w:w="108" w:type="dxa"/>
            <w:bottom w:w="0" w:type="dxa"/>
            <w:right w:w="108" w:type="dxa"/>
          </w:tblCellMar>
        </w:tblPrEx>
        <w:trPr>
          <w:trHeight w:val="390" w:hRule="atLeast"/>
        </w:trPr>
        <w:tc>
          <w:tcPr>
            <w:tcW w:w="45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2</w:t>
            </w:r>
          </w:p>
        </w:tc>
        <w:tc>
          <w:tcPr>
            <w:tcW w:w="21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采购员</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4-01-01-01</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17</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76</w:t>
            </w:r>
          </w:p>
        </w:tc>
        <w:tc>
          <w:tcPr>
            <w:tcW w:w="112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-59</w:t>
            </w:r>
          </w:p>
        </w:tc>
        <w:tc>
          <w:tcPr>
            <w:tcW w:w="13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0.22 </w:t>
            </w:r>
          </w:p>
        </w:tc>
      </w:tr>
      <w:tr>
        <w:tblPrEx>
          <w:tblCellMar>
            <w:top w:w="0" w:type="dxa"/>
            <w:left w:w="108" w:type="dxa"/>
            <w:bottom w:w="0" w:type="dxa"/>
            <w:right w:w="108" w:type="dxa"/>
          </w:tblCellMar>
        </w:tblPrEx>
        <w:trPr>
          <w:trHeight w:val="390" w:hRule="atLeast"/>
        </w:trPr>
        <w:tc>
          <w:tcPr>
            <w:tcW w:w="45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3</w:t>
            </w:r>
          </w:p>
        </w:tc>
        <w:tc>
          <w:tcPr>
            <w:tcW w:w="21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人力资源管理专业人员</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2-06-08-01</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21</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65</w:t>
            </w:r>
          </w:p>
        </w:tc>
        <w:tc>
          <w:tcPr>
            <w:tcW w:w="112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-44</w:t>
            </w:r>
          </w:p>
        </w:tc>
        <w:tc>
          <w:tcPr>
            <w:tcW w:w="13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0.32 </w:t>
            </w:r>
          </w:p>
        </w:tc>
      </w:tr>
      <w:tr>
        <w:tblPrEx>
          <w:tblCellMar>
            <w:top w:w="0" w:type="dxa"/>
            <w:left w:w="108" w:type="dxa"/>
            <w:bottom w:w="0" w:type="dxa"/>
            <w:right w:w="108" w:type="dxa"/>
          </w:tblCellMar>
        </w:tblPrEx>
        <w:trPr>
          <w:trHeight w:val="402" w:hRule="atLeast"/>
        </w:trPr>
        <w:tc>
          <w:tcPr>
            <w:tcW w:w="45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4</w:t>
            </w:r>
          </w:p>
        </w:tc>
        <w:tc>
          <w:tcPr>
            <w:tcW w:w="21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律师</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2-07-03-00</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8</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36</w:t>
            </w:r>
          </w:p>
        </w:tc>
        <w:tc>
          <w:tcPr>
            <w:tcW w:w="112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-28</w:t>
            </w:r>
          </w:p>
        </w:tc>
        <w:tc>
          <w:tcPr>
            <w:tcW w:w="13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0.22 </w:t>
            </w:r>
          </w:p>
        </w:tc>
      </w:tr>
      <w:tr>
        <w:tblPrEx>
          <w:tblCellMar>
            <w:top w:w="0" w:type="dxa"/>
            <w:left w:w="108" w:type="dxa"/>
            <w:bottom w:w="0" w:type="dxa"/>
            <w:right w:w="108" w:type="dxa"/>
          </w:tblCellMar>
        </w:tblPrEx>
        <w:trPr>
          <w:trHeight w:val="402" w:hRule="atLeast"/>
        </w:trPr>
        <w:tc>
          <w:tcPr>
            <w:tcW w:w="45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5</w:t>
            </w:r>
          </w:p>
        </w:tc>
        <w:tc>
          <w:tcPr>
            <w:tcW w:w="21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动画设计人员</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2-09-06-03</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16</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28</w:t>
            </w:r>
          </w:p>
        </w:tc>
        <w:tc>
          <w:tcPr>
            <w:tcW w:w="112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-12</w:t>
            </w:r>
          </w:p>
        </w:tc>
        <w:tc>
          <w:tcPr>
            <w:tcW w:w="13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0.57 </w:t>
            </w:r>
          </w:p>
        </w:tc>
      </w:tr>
      <w:tr>
        <w:tblPrEx>
          <w:tblCellMar>
            <w:top w:w="0" w:type="dxa"/>
            <w:left w:w="108" w:type="dxa"/>
            <w:bottom w:w="0" w:type="dxa"/>
            <w:right w:w="108" w:type="dxa"/>
          </w:tblCellMar>
        </w:tblPrEx>
        <w:trPr>
          <w:trHeight w:val="402" w:hRule="atLeast"/>
        </w:trPr>
        <w:tc>
          <w:tcPr>
            <w:tcW w:w="45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6</w:t>
            </w:r>
          </w:p>
        </w:tc>
        <w:tc>
          <w:tcPr>
            <w:tcW w:w="21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仓储管理员</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4-02-06-01</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92</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132</w:t>
            </w:r>
          </w:p>
        </w:tc>
        <w:tc>
          <w:tcPr>
            <w:tcW w:w="112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-40</w:t>
            </w:r>
          </w:p>
        </w:tc>
        <w:tc>
          <w:tcPr>
            <w:tcW w:w="13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0.70 </w:t>
            </w:r>
          </w:p>
        </w:tc>
      </w:tr>
      <w:tr>
        <w:tblPrEx>
          <w:tblCellMar>
            <w:top w:w="0" w:type="dxa"/>
            <w:left w:w="108" w:type="dxa"/>
            <w:bottom w:w="0" w:type="dxa"/>
            <w:right w:w="108" w:type="dxa"/>
          </w:tblCellMar>
        </w:tblPrEx>
        <w:trPr>
          <w:trHeight w:val="402" w:hRule="atLeast"/>
        </w:trPr>
        <w:tc>
          <w:tcPr>
            <w:tcW w:w="45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7</w:t>
            </w:r>
          </w:p>
        </w:tc>
        <w:tc>
          <w:tcPr>
            <w:tcW w:w="21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驾驶员</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4-02-02-01</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52</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96</w:t>
            </w:r>
          </w:p>
        </w:tc>
        <w:tc>
          <w:tcPr>
            <w:tcW w:w="112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-44</w:t>
            </w:r>
          </w:p>
        </w:tc>
        <w:tc>
          <w:tcPr>
            <w:tcW w:w="13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0.54 </w:t>
            </w:r>
          </w:p>
        </w:tc>
      </w:tr>
      <w:tr>
        <w:tblPrEx>
          <w:tblCellMar>
            <w:top w:w="0" w:type="dxa"/>
            <w:left w:w="108" w:type="dxa"/>
            <w:bottom w:w="0" w:type="dxa"/>
            <w:right w:w="108" w:type="dxa"/>
          </w:tblCellMar>
        </w:tblPrEx>
        <w:trPr>
          <w:trHeight w:val="402" w:hRule="atLeast"/>
        </w:trPr>
        <w:tc>
          <w:tcPr>
            <w:tcW w:w="45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8</w:t>
            </w:r>
          </w:p>
        </w:tc>
        <w:tc>
          <w:tcPr>
            <w:tcW w:w="21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证券交易员</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4-05-02-01</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25</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51</w:t>
            </w:r>
          </w:p>
        </w:tc>
        <w:tc>
          <w:tcPr>
            <w:tcW w:w="112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-26</w:t>
            </w:r>
          </w:p>
        </w:tc>
        <w:tc>
          <w:tcPr>
            <w:tcW w:w="13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0.49 </w:t>
            </w:r>
          </w:p>
        </w:tc>
      </w:tr>
      <w:tr>
        <w:tblPrEx>
          <w:tblCellMar>
            <w:top w:w="0" w:type="dxa"/>
            <w:left w:w="108" w:type="dxa"/>
            <w:bottom w:w="0" w:type="dxa"/>
            <w:right w:w="108" w:type="dxa"/>
          </w:tblCellMar>
        </w:tblPrEx>
        <w:trPr>
          <w:trHeight w:val="402" w:hRule="atLeast"/>
        </w:trPr>
        <w:tc>
          <w:tcPr>
            <w:tcW w:w="45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9</w:t>
            </w:r>
          </w:p>
        </w:tc>
        <w:tc>
          <w:tcPr>
            <w:tcW w:w="21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数字媒体艺术专业人员</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2-09-06-07</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32</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64</w:t>
            </w:r>
          </w:p>
        </w:tc>
        <w:tc>
          <w:tcPr>
            <w:tcW w:w="112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-32</w:t>
            </w:r>
          </w:p>
        </w:tc>
        <w:tc>
          <w:tcPr>
            <w:tcW w:w="13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0.50 </w:t>
            </w:r>
          </w:p>
        </w:tc>
      </w:tr>
      <w:tr>
        <w:tblPrEx>
          <w:tblCellMar>
            <w:top w:w="0" w:type="dxa"/>
            <w:left w:w="108" w:type="dxa"/>
            <w:bottom w:w="0" w:type="dxa"/>
            <w:right w:w="108" w:type="dxa"/>
          </w:tblCellMar>
        </w:tblPrEx>
        <w:trPr>
          <w:trHeight w:val="402" w:hRule="atLeast"/>
        </w:trPr>
        <w:tc>
          <w:tcPr>
            <w:tcW w:w="45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10</w:t>
            </w:r>
          </w:p>
        </w:tc>
        <w:tc>
          <w:tcPr>
            <w:tcW w:w="219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会计专业人员</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2-06-03-00</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25</w:t>
            </w:r>
          </w:p>
        </w:tc>
        <w:tc>
          <w:tcPr>
            <w:tcW w:w="148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61</w:t>
            </w:r>
          </w:p>
        </w:tc>
        <w:tc>
          <w:tcPr>
            <w:tcW w:w="112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-36</w:t>
            </w:r>
          </w:p>
        </w:tc>
        <w:tc>
          <w:tcPr>
            <w:tcW w:w="13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cs="宋体"/>
                <w:sz w:val="22"/>
                <w:szCs w:val="22"/>
              </w:rPr>
            </w:pPr>
            <w:r>
              <w:rPr>
                <w:rFonts w:hint="eastAsia" w:ascii="宋体" w:hAnsi="宋体" w:eastAsia="宋体" w:cs="宋体"/>
                <w:i w:val="0"/>
                <w:iCs w:val="0"/>
                <w:color w:val="000000"/>
                <w:kern w:val="0"/>
                <w:sz w:val="20"/>
                <w:szCs w:val="20"/>
                <w:u w:val="none"/>
                <w:lang w:val="en-US" w:eastAsia="zh-CN" w:bidi="ar"/>
              </w:rPr>
              <w:t xml:space="preserve">0.41 </w:t>
            </w:r>
          </w:p>
        </w:tc>
      </w:tr>
    </w:tbl>
    <w:p>
      <w:pPr>
        <w:adjustRightInd w:val="0"/>
        <w:snapToGrid w:val="0"/>
        <w:spacing w:line="360" w:lineRule="auto"/>
        <w:jc w:val="center"/>
        <w:rPr>
          <w:rFonts w:ascii="宋体" w:hAnsi="宋体"/>
          <w:szCs w:val="21"/>
        </w:rPr>
      </w:pPr>
    </w:p>
    <w:p>
      <w:pPr>
        <w:widowControl/>
        <w:spacing w:before="100" w:beforeAutospacing="1" w:after="100" w:afterAutospacing="1" w:line="360" w:lineRule="auto"/>
        <w:ind w:firstLine="420" w:firstLineChars="200"/>
        <w:jc w:val="left"/>
        <w:rPr>
          <w:rFonts w:hint="eastAsia" w:ascii="宋体" w:hAnsi="宋体" w:eastAsia="宋体"/>
          <w:color w:val="FF0000"/>
          <w:szCs w:val="21"/>
          <w:lang w:eastAsia="zh-CN"/>
        </w:rPr>
      </w:pPr>
      <w:r>
        <w:rPr>
          <w:rFonts w:hint="eastAsia" w:ascii="宋体" w:hAnsi="宋体" w:cs="宋体"/>
          <w:kern w:val="0"/>
          <w:szCs w:val="21"/>
        </w:rPr>
        <w:t>从表6</w:t>
      </w:r>
      <w:r>
        <w:rPr>
          <w:rFonts w:hint="eastAsia" w:ascii="宋体" w:hAnsi="宋体" w:cs="宋体"/>
          <w:kern w:val="0"/>
          <w:szCs w:val="21"/>
          <w:lang w:eastAsia="zh-CN"/>
        </w:rPr>
        <w:t>、表</w:t>
      </w:r>
      <w:r>
        <w:rPr>
          <w:rFonts w:hint="eastAsia" w:ascii="宋体" w:hAnsi="宋体" w:cs="宋体"/>
          <w:kern w:val="0"/>
          <w:szCs w:val="21"/>
          <w:lang w:val="en-US" w:eastAsia="zh-CN"/>
        </w:rPr>
        <w:t>7</w:t>
      </w:r>
      <w:r>
        <w:rPr>
          <w:rFonts w:hint="eastAsia" w:ascii="宋体" w:hAnsi="宋体" w:cs="宋体"/>
          <w:kern w:val="0"/>
          <w:szCs w:val="21"/>
        </w:rPr>
        <w:t>反映出，本季度需求缺口排名前三位的是：</w:t>
      </w:r>
      <w:r>
        <w:rPr>
          <w:rFonts w:hint="eastAsia" w:ascii="宋体" w:hAnsi="宋体" w:cs="宋体"/>
          <w:kern w:val="0"/>
          <w:szCs w:val="21"/>
          <w:lang w:eastAsia="zh-CN"/>
        </w:rPr>
        <w:t>纺纱工</w:t>
      </w:r>
      <w:r>
        <w:rPr>
          <w:rFonts w:hint="eastAsia" w:ascii="宋体" w:hAnsi="宋体" w:cs="宋体"/>
          <w:kern w:val="0"/>
          <w:szCs w:val="21"/>
        </w:rPr>
        <w:t>、</w:t>
      </w:r>
      <w:r>
        <w:rPr>
          <w:rFonts w:hint="eastAsia" w:ascii="宋体" w:hAnsi="宋体" w:cs="宋体"/>
          <w:kern w:val="0"/>
          <w:szCs w:val="21"/>
          <w:lang w:eastAsia="zh-CN"/>
        </w:rPr>
        <w:t>车工</w:t>
      </w:r>
      <w:r>
        <w:rPr>
          <w:rFonts w:hint="eastAsia" w:ascii="宋体" w:hAnsi="宋体" w:cs="宋体"/>
          <w:kern w:val="0"/>
          <w:szCs w:val="21"/>
        </w:rPr>
        <w:t>、</w:t>
      </w:r>
      <w:r>
        <w:rPr>
          <w:rFonts w:hint="eastAsia" w:ascii="宋体" w:hAnsi="宋体" w:cs="宋体"/>
          <w:kern w:val="0"/>
          <w:sz w:val="24"/>
        </w:rPr>
        <w:t>缝纫工</w:t>
      </w:r>
      <w:r>
        <w:rPr>
          <w:rFonts w:hint="eastAsia" w:ascii="宋体" w:hAnsi="宋体" w:cs="宋体"/>
          <w:kern w:val="0"/>
          <w:szCs w:val="21"/>
        </w:rPr>
        <w:t>，与去年同期及上期情况基本一致，说明这些工种需求量较大，亦与我市产业结构的分布吻合，操作工、裁</w:t>
      </w:r>
      <w:r>
        <w:rPr>
          <w:rFonts w:hint="eastAsia" w:ascii="宋体" w:hAnsi="宋体" w:cs="宋体"/>
          <w:color w:val="auto"/>
          <w:kern w:val="0"/>
          <w:szCs w:val="21"/>
        </w:rPr>
        <w:t>剪缝纫工、纺纱人员、</w:t>
      </w:r>
      <w:r>
        <w:rPr>
          <w:rFonts w:hint="eastAsia" w:ascii="宋体" w:hAnsi="宋体" w:cs="宋体"/>
          <w:color w:val="auto"/>
          <w:kern w:val="0"/>
          <w:szCs w:val="21"/>
          <w:lang w:eastAsia="zh-CN"/>
        </w:rPr>
        <w:t>一线操作工</w:t>
      </w:r>
      <w:r>
        <w:rPr>
          <w:rFonts w:hint="eastAsia" w:ascii="宋体" w:hAnsi="宋体" w:cs="宋体"/>
          <w:color w:val="auto"/>
          <w:kern w:val="0"/>
          <w:szCs w:val="21"/>
        </w:rPr>
        <w:t>等工种依旧占我市人力资源市场需求的主体位置。</w:t>
      </w:r>
      <w:r>
        <w:rPr>
          <w:rFonts w:hint="eastAsia" w:ascii="宋体" w:hAnsi="宋体" w:cs="宋体"/>
          <w:color w:val="auto"/>
          <w:kern w:val="0"/>
          <w:szCs w:val="21"/>
          <w:lang w:eastAsia="zh-CN"/>
        </w:rPr>
        <w:t>而广告设计</w:t>
      </w:r>
      <w:r>
        <w:rPr>
          <w:rFonts w:hint="eastAsia" w:ascii="宋体" w:hAnsi="宋体" w:cs="宋体"/>
          <w:color w:val="auto"/>
          <w:kern w:val="0"/>
          <w:szCs w:val="21"/>
        </w:rPr>
        <w:t>、</w:t>
      </w:r>
      <w:r>
        <w:rPr>
          <w:rFonts w:hint="eastAsia" w:ascii="宋体" w:hAnsi="宋体" w:cs="宋体"/>
          <w:color w:val="auto"/>
          <w:kern w:val="0"/>
          <w:szCs w:val="21"/>
          <w:lang w:eastAsia="zh-CN"/>
        </w:rPr>
        <w:t>政券交易</w:t>
      </w:r>
      <w:r>
        <w:rPr>
          <w:rFonts w:hint="eastAsia" w:ascii="宋体" w:hAnsi="宋体" w:cs="宋体"/>
          <w:color w:val="auto"/>
          <w:kern w:val="0"/>
          <w:szCs w:val="21"/>
        </w:rPr>
        <w:t>、会计专业人员等在我市的需求量较小</w:t>
      </w:r>
      <w:r>
        <w:rPr>
          <w:rFonts w:hint="eastAsia" w:ascii="宋体" w:hAnsi="宋体" w:cs="宋体"/>
          <w:color w:val="auto"/>
          <w:kern w:val="0"/>
          <w:szCs w:val="21"/>
          <w:lang w:eastAsia="zh-CN"/>
        </w:rPr>
        <w:t>。</w:t>
      </w:r>
    </w:p>
    <w:p>
      <w:pPr>
        <w:adjustRightInd w:val="0"/>
        <w:snapToGrid w:val="0"/>
        <w:spacing w:line="360" w:lineRule="auto"/>
        <w:rPr>
          <w:rFonts w:ascii="宋体" w:hAnsi="宋体"/>
          <w:color w:val="FF0000"/>
          <w:szCs w:val="21"/>
        </w:rPr>
      </w:pPr>
    </w:p>
    <w:p>
      <w:pPr>
        <w:adjustRightInd w:val="0"/>
        <w:snapToGrid w:val="0"/>
        <w:spacing w:line="360" w:lineRule="auto"/>
        <w:rPr>
          <w:rFonts w:ascii="宋体" w:hAnsi="宋体"/>
          <w:b/>
          <w:szCs w:val="21"/>
        </w:rPr>
      </w:pPr>
      <w:r>
        <w:rPr>
          <w:rFonts w:hint="eastAsia" w:ascii="宋体" w:hAnsi="宋体"/>
          <w:b/>
          <w:szCs w:val="21"/>
        </w:rPr>
        <w:t>（五）</w:t>
      </w:r>
      <w:r>
        <w:rPr>
          <w:rFonts w:ascii="宋体" w:hAnsi="宋体"/>
          <w:b/>
          <w:szCs w:val="21"/>
        </w:rPr>
        <w:t>、求职人员分类</w:t>
      </w:r>
    </w:p>
    <w:p>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根据求职人员类别分析，本季度中列前三位的求职者分别是外埠人员30.18%，本市农村人员21.86%，</w:t>
      </w:r>
      <w:r>
        <w:rPr>
          <w:rFonts w:hint="eastAsia" w:ascii="仿宋_GB2312" w:hAnsi="Verdana" w:cs="宋体"/>
          <w:kern w:val="0"/>
          <w:szCs w:val="22"/>
        </w:rPr>
        <w:t>高校毕业生</w:t>
      </w:r>
      <w:r>
        <w:rPr>
          <w:rFonts w:hint="eastAsia" w:ascii="宋体" w:hAnsi="宋体" w:cs="宋体"/>
          <w:kern w:val="0"/>
          <w:szCs w:val="21"/>
        </w:rPr>
        <w:t>17.60%。应届高校毕业生在新成长失业青年中所占比例为17.6</w:t>
      </w:r>
      <w:r>
        <w:rPr>
          <w:rFonts w:hint="eastAsia" w:ascii="宋体" w:hAnsi="宋体" w:cs="宋体"/>
          <w:kern w:val="0"/>
          <w:szCs w:val="21"/>
          <w:lang w:val="en-US" w:eastAsia="zh-CN"/>
        </w:rPr>
        <w:t>0</w:t>
      </w:r>
      <w:r>
        <w:rPr>
          <w:rFonts w:hint="eastAsia" w:ascii="宋体" w:hAnsi="宋体" w:cs="宋体"/>
          <w:kern w:val="0"/>
          <w:szCs w:val="21"/>
        </w:rPr>
        <w:t>%。这一情况与去年同期</w:t>
      </w:r>
      <w:r>
        <w:rPr>
          <w:rFonts w:hint="eastAsia" w:ascii="宋体" w:hAnsi="宋体" w:cs="宋体"/>
          <w:kern w:val="0"/>
          <w:szCs w:val="21"/>
          <w:lang w:eastAsia="zh-CN"/>
        </w:rPr>
        <w:t>变化不大</w:t>
      </w:r>
      <w:r>
        <w:rPr>
          <w:rFonts w:hint="eastAsia" w:ascii="宋体" w:hAnsi="宋体" w:cs="宋体"/>
          <w:kern w:val="0"/>
          <w:szCs w:val="21"/>
        </w:rPr>
        <w:t>。说明求职者中，外来劳动力和本市农村人员一直占求职者的主体。</w:t>
      </w:r>
    </w:p>
    <w:p>
      <w:pPr>
        <w:adjustRightInd w:val="0"/>
        <w:snapToGrid w:val="0"/>
        <w:spacing w:line="360" w:lineRule="auto"/>
        <w:ind w:firstLine="420" w:firstLineChars="200"/>
        <w:rPr>
          <w:rFonts w:ascii="宋体" w:hAnsi="宋体" w:cs="宋体"/>
          <w:kern w:val="0"/>
          <w:szCs w:val="21"/>
        </w:rPr>
      </w:pPr>
    </w:p>
    <w:p>
      <w:pPr>
        <w:adjustRightInd w:val="0"/>
        <w:snapToGrid w:val="0"/>
        <w:spacing w:line="360" w:lineRule="auto"/>
        <w:jc w:val="center"/>
        <w:rPr>
          <w:rFonts w:ascii="宋体" w:hAnsi="宋体"/>
          <w:szCs w:val="21"/>
        </w:rPr>
      </w:pPr>
      <w:r>
        <w:rPr>
          <w:rFonts w:hint="eastAsia" w:ascii="宋体" w:hAnsi="宋体"/>
          <w:szCs w:val="21"/>
        </w:rPr>
        <w:t xml:space="preserve">表8 </w:t>
      </w:r>
      <w:r>
        <w:rPr>
          <w:rFonts w:ascii="宋体" w:hAnsi="宋体"/>
          <w:szCs w:val="21"/>
        </w:rPr>
        <w:t>按求职人员类别分组的求职人数</w:t>
      </w:r>
    </w:p>
    <w:tbl>
      <w:tblPr>
        <w:tblStyle w:val="6"/>
        <w:tblW w:w="3452" w:type="pct"/>
        <w:tblCellSpacing w:w="0" w:type="dxa"/>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0" w:type="dxa"/>
          <w:bottom w:w="0" w:type="dxa"/>
          <w:right w:w="0" w:type="dxa"/>
        </w:tblCellMar>
      </w:tblPr>
      <w:tblGrid>
        <w:gridCol w:w="2190"/>
        <w:gridCol w:w="1796"/>
        <w:gridCol w:w="1797"/>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trPr>
        <w:tc>
          <w:tcPr>
            <w:tcW w:w="2190" w:type="dxa"/>
            <w:tcBorders>
              <w:top w:val="single" w:color="auto" w:sz="8" w:space="0"/>
              <w:left w:val="single" w:color="auto" w:sz="8" w:space="0"/>
              <w:bottom w:val="single" w:color="auto" w:sz="8" w:space="0"/>
              <w:right w:val="single" w:color="auto"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求职人员类别</w:t>
            </w:r>
          </w:p>
        </w:tc>
        <w:tc>
          <w:tcPr>
            <w:tcW w:w="1796" w:type="dxa"/>
            <w:tcBorders>
              <w:top w:val="single" w:color="auto" w:sz="8" w:space="0"/>
              <w:left w:val="single" w:color="000000" w:sz="8" w:space="0"/>
              <w:bottom w:val="single" w:color="auto" w:sz="8" w:space="0"/>
              <w:right w:val="single" w:color="auto" w:sz="8" w:space="0"/>
            </w:tcBorders>
            <w:shd w:val="clear" w:color="auto" w:fill="FFFF99"/>
            <w:tcMar>
              <w:top w:w="15" w:type="dxa"/>
              <w:left w:w="15" w:type="dxa"/>
              <w:bottom w:w="15" w:type="dxa"/>
              <w:right w:w="15" w:type="dxa"/>
            </w:tcMar>
            <w:vAlign w:val="center"/>
          </w:tcPr>
          <w:p>
            <w:pPr>
              <w:widowControl/>
              <w:spacing w:line="360" w:lineRule="auto"/>
              <w:jc w:val="center"/>
              <w:rPr>
                <w:rFonts w:ascii="宋体" w:hAnsi="宋体" w:cs="宋体"/>
                <w:kern w:val="0"/>
                <w:szCs w:val="21"/>
              </w:rPr>
            </w:pPr>
            <w:r>
              <w:rPr>
                <w:rFonts w:hint="eastAsia" w:ascii="宋体" w:hAnsi="宋体" w:cs="宋体"/>
                <w:kern w:val="0"/>
                <w:szCs w:val="21"/>
              </w:rPr>
              <w:t>本季度</w:t>
            </w:r>
          </w:p>
          <w:p>
            <w:pPr>
              <w:widowControl/>
              <w:spacing w:line="360" w:lineRule="auto"/>
              <w:jc w:val="center"/>
              <w:rPr>
                <w:rFonts w:ascii="宋体" w:hAnsi="宋体" w:cs="宋体"/>
                <w:kern w:val="0"/>
                <w:szCs w:val="21"/>
              </w:rPr>
            </w:pPr>
            <w:r>
              <w:rPr>
                <w:rFonts w:hint="eastAsia" w:ascii="宋体" w:hAnsi="宋体" w:cs="宋体"/>
                <w:kern w:val="0"/>
                <w:szCs w:val="21"/>
              </w:rPr>
              <w:t>求职人数(人)</w:t>
            </w:r>
          </w:p>
        </w:tc>
        <w:tc>
          <w:tcPr>
            <w:tcW w:w="1797" w:type="dxa"/>
            <w:tcBorders>
              <w:top w:val="single" w:color="auto" w:sz="8" w:space="0"/>
              <w:left w:val="single" w:color="auto" w:sz="8" w:space="0"/>
              <w:bottom w:val="single" w:color="auto" w:sz="8" w:space="0"/>
              <w:right w:val="single" w:color="auto" w:sz="8" w:space="0"/>
            </w:tcBorders>
            <w:shd w:val="clear" w:color="auto" w:fill="FFFF99"/>
            <w:tcMar>
              <w:top w:w="15" w:type="dxa"/>
              <w:left w:w="15" w:type="dxa"/>
              <w:bottom w:w="15" w:type="dxa"/>
              <w:right w:w="15" w:type="dxa"/>
            </w:tcMar>
            <w:vAlign w:val="center"/>
          </w:tcPr>
          <w:p>
            <w:pPr>
              <w:widowControl/>
              <w:spacing w:line="360" w:lineRule="auto"/>
              <w:jc w:val="center"/>
              <w:rPr>
                <w:rFonts w:ascii="宋体" w:hAnsi="宋体" w:cs="宋体"/>
                <w:kern w:val="0"/>
                <w:szCs w:val="21"/>
              </w:rPr>
            </w:pPr>
            <w:r>
              <w:rPr>
                <w:rFonts w:hint="eastAsia" w:ascii="宋体" w:hAnsi="宋体" w:cs="宋体"/>
                <w:kern w:val="0"/>
                <w:szCs w:val="21"/>
              </w:rPr>
              <w:t>本季度</w:t>
            </w:r>
          </w:p>
          <w:p>
            <w:pPr>
              <w:widowControl/>
              <w:spacing w:line="360" w:lineRule="auto"/>
              <w:jc w:val="center"/>
              <w:rPr>
                <w:rFonts w:ascii="宋体" w:hAnsi="宋体" w:cs="宋体"/>
                <w:kern w:val="0"/>
                <w:szCs w:val="21"/>
              </w:rPr>
            </w:pPr>
            <w:r>
              <w:rPr>
                <w:rFonts w:hint="eastAsia" w:ascii="宋体" w:hAnsi="宋体" w:cs="宋体"/>
                <w:kern w:val="0"/>
                <w:szCs w:val="21"/>
              </w:rPr>
              <w:t>所占比重(%)</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新成长失业青年</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7296</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18.78%</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0"/>
              </w:rPr>
              <w:t>其中：应届高校毕业生</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6835</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17.60%</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lang w:eastAsia="zh-CN"/>
              </w:rPr>
              <w:t>失业人</w:t>
            </w:r>
            <w:r>
              <w:rPr>
                <w:rFonts w:hint="eastAsia" w:ascii="仿宋_GB2312" w:hAnsi="Verdana" w:cs="宋体"/>
                <w:kern w:val="0"/>
                <w:szCs w:val="22"/>
              </w:rPr>
              <w:t>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10570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27.21%</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在业人员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765</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1.97%</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退休人员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在学人员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本市农村人员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8492</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21.86%</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rPr>
              <w:t>外埠人员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11723</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30.18%</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Cs w:val="21"/>
              </w:rPr>
            </w:pPr>
            <w:r>
              <w:rPr>
                <w:rFonts w:hint="eastAsia" w:ascii="仿宋_GB2312" w:hAnsi="Verdana" w:cs="宋体"/>
                <w:kern w:val="0"/>
                <w:szCs w:val="22"/>
              </w:rPr>
              <w:t>合计</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38846</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100.00%</w:t>
            </w:r>
          </w:p>
        </w:tc>
      </w:tr>
    </w:tbl>
    <w:p>
      <w:pPr>
        <w:adjustRightInd w:val="0"/>
        <w:snapToGrid w:val="0"/>
        <w:spacing w:line="360" w:lineRule="auto"/>
        <w:rPr>
          <w:rFonts w:ascii="宋体" w:hAnsi="宋体"/>
          <w:color w:val="FF0000"/>
          <w:szCs w:val="21"/>
        </w:rPr>
      </w:pPr>
    </w:p>
    <w:p>
      <w:pPr>
        <w:adjustRightInd w:val="0"/>
        <w:snapToGrid w:val="0"/>
        <w:spacing w:line="360" w:lineRule="auto"/>
        <w:rPr>
          <w:rFonts w:ascii="宋体" w:hAnsi="宋体"/>
          <w:b/>
          <w:szCs w:val="21"/>
        </w:rPr>
      </w:pPr>
      <w:r>
        <w:rPr>
          <w:rFonts w:hint="eastAsia" w:ascii="宋体" w:hAnsi="宋体"/>
          <w:b/>
          <w:szCs w:val="21"/>
        </w:rPr>
        <w:t>（六）</w:t>
      </w:r>
      <w:r>
        <w:rPr>
          <w:rFonts w:ascii="宋体" w:hAnsi="宋体"/>
          <w:b/>
          <w:szCs w:val="21"/>
        </w:rPr>
        <w:t>、招聘、应聘条件分析</w:t>
      </w:r>
    </w:p>
    <w:p>
      <w:pPr>
        <w:adjustRightInd w:val="0"/>
        <w:snapToGrid w:val="0"/>
        <w:spacing w:line="360" w:lineRule="auto"/>
        <w:rPr>
          <w:rFonts w:ascii="宋体" w:hAnsi="宋体"/>
          <w:szCs w:val="21"/>
        </w:rPr>
      </w:pPr>
      <w:r>
        <w:rPr>
          <w:rFonts w:hint="eastAsia" w:ascii="宋体" w:hAnsi="宋体"/>
          <w:szCs w:val="21"/>
        </w:rPr>
        <w:t>1. 性别</w:t>
      </w:r>
    </w:p>
    <w:p>
      <w:pPr>
        <w:widowControl/>
        <w:spacing w:before="100" w:beforeAutospacing="1" w:after="100" w:afterAutospacing="1" w:line="360" w:lineRule="auto"/>
        <w:ind w:firstLine="420" w:firstLineChars="200"/>
        <w:jc w:val="left"/>
        <w:rPr>
          <w:rFonts w:ascii="宋体" w:hAnsi="宋体" w:cs="宋体"/>
          <w:kern w:val="0"/>
          <w:szCs w:val="21"/>
        </w:rPr>
      </w:pPr>
      <w:r>
        <w:rPr>
          <w:rFonts w:hint="eastAsia" w:ascii="宋体" w:hAnsi="宋体" w:cs="宋体"/>
          <w:kern w:val="0"/>
          <w:szCs w:val="21"/>
        </w:rPr>
        <w:t>按性别分类，男女求职比例基本为5</w:t>
      </w:r>
      <w:r>
        <w:rPr>
          <w:rFonts w:hint="eastAsia" w:ascii="宋体" w:hAnsi="宋体" w:cs="宋体"/>
          <w:kern w:val="0"/>
          <w:szCs w:val="21"/>
          <w:lang w:val="en-US" w:eastAsia="zh-CN"/>
        </w:rPr>
        <w:t>5</w:t>
      </w:r>
      <w:r>
        <w:rPr>
          <w:rFonts w:hint="eastAsia" w:ascii="宋体" w:hAnsi="宋体" w:cs="宋体"/>
          <w:kern w:val="0"/>
          <w:szCs w:val="21"/>
        </w:rPr>
        <w:t>：4</w:t>
      </w:r>
      <w:r>
        <w:rPr>
          <w:rFonts w:hint="eastAsia" w:ascii="宋体" w:hAnsi="宋体" w:cs="宋体"/>
          <w:kern w:val="0"/>
          <w:szCs w:val="21"/>
          <w:lang w:val="en-US" w:eastAsia="zh-CN"/>
        </w:rPr>
        <w:t>5</w:t>
      </w:r>
      <w:r>
        <w:rPr>
          <w:rFonts w:hint="eastAsia" w:ascii="宋体" w:hAnsi="宋体" w:cs="宋体"/>
          <w:kern w:val="0"/>
          <w:szCs w:val="21"/>
        </w:rPr>
        <w:t>，求人倍率男性为1.29，女性为1.2</w:t>
      </w:r>
      <w:r>
        <w:rPr>
          <w:rFonts w:hint="eastAsia" w:ascii="宋体" w:hAnsi="宋体" w:cs="宋体"/>
          <w:kern w:val="0"/>
          <w:szCs w:val="21"/>
          <w:lang w:val="en-US" w:eastAsia="zh-CN"/>
        </w:rPr>
        <w:t>5</w:t>
      </w:r>
      <w:r>
        <w:rPr>
          <w:rFonts w:hint="eastAsia" w:ascii="宋体" w:hAnsi="宋体" w:cs="宋体"/>
          <w:kern w:val="0"/>
          <w:szCs w:val="21"/>
        </w:rPr>
        <w:t>,男性需求人数高于女性，与我市劳动力资源性别结构相符。</w:t>
      </w:r>
    </w:p>
    <w:p>
      <w:pPr>
        <w:adjustRightInd w:val="0"/>
        <w:snapToGrid w:val="0"/>
        <w:spacing w:line="360" w:lineRule="auto"/>
        <w:jc w:val="center"/>
        <w:rPr>
          <w:rFonts w:ascii="宋体" w:hAnsi="宋体"/>
          <w:szCs w:val="21"/>
        </w:rPr>
      </w:pPr>
      <w:r>
        <w:rPr>
          <w:rFonts w:hint="eastAsia" w:ascii="宋体" w:hAnsi="宋体"/>
          <w:szCs w:val="21"/>
        </w:rPr>
        <w:t xml:space="preserve">表9 </w:t>
      </w:r>
      <w:r>
        <w:rPr>
          <w:rFonts w:ascii="宋体" w:hAnsi="宋体"/>
          <w:szCs w:val="21"/>
        </w:rPr>
        <w:t>按性别分组的供求人数</w:t>
      </w:r>
    </w:p>
    <w:tbl>
      <w:tblPr>
        <w:tblStyle w:val="6"/>
        <w:tblW w:w="7395" w:type="dxa"/>
        <w:tblInd w:w="93"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951"/>
        <w:gridCol w:w="1224"/>
        <w:gridCol w:w="1080"/>
        <w:gridCol w:w="1260"/>
        <w:gridCol w:w="1260"/>
        <w:gridCol w:w="162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80" w:hRule="atLeast"/>
        </w:trPr>
        <w:tc>
          <w:tcPr>
            <w:tcW w:w="951" w:type="dxa"/>
            <w:vMerge w:val="restart"/>
            <w:tcBorders>
              <w:top w:val="single" w:color="auto" w:sz="8" w:space="0"/>
              <w:left w:val="single" w:color="auto" w:sz="8" w:space="0"/>
              <w:bottom w:val="single" w:color="000000"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性别</w:t>
            </w:r>
          </w:p>
        </w:tc>
        <w:tc>
          <w:tcPr>
            <w:tcW w:w="6444"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劳动力供求人数比较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397" w:hRule="atLeast"/>
        </w:trPr>
        <w:tc>
          <w:tcPr>
            <w:tcW w:w="0" w:type="auto"/>
            <w:vMerge w:val="continue"/>
            <w:tcBorders>
              <w:top w:val="single" w:color="auto" w:sz="8" w:space="0"/>
              <w:left w:val="single" w:color="auto" w:sz="8" w:space="0"/>
              <w:bottom w:val="single" w:color="000000" w:sz="8" w:space="0"/>
              <w:right w:val="single" w:color="auto" w:sz="8" w:space="0"/>
            </w:tcBorders>
            <w:vAlign w:val="center"/>
          </w:tcPr>
          <w:p>
            <w:pPr>
              <w:widowControl/>
              <w:spacing w:line="360" w:lineRule="auto"/>
              <w:jc w:val="left"/>
              <w:rPr>
                <w:rFonts w:ascii="宋体" w:hAnsi="宋体" w:cs="宋体"/>
                <w:kern w:val="0"/>
                <w:szCs w:val="21"/>
              </w:rPr>
            </w:pPr>
          </w:p>
        </w:tc>
        <w:tc>
          <w:tcPr>
            <w:tcW w:w="1224"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本季度需求人数（人）</w:t>
            </w:r>
          </w:p>
        </w:tc>
        <w:tc>
          <w:tcPr>
            <w:tcW w:w="108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本季度需求比重（</w:t>
            </w:r>
            <w:r>
              <w:rPr>
                <w:rFonts w:ascii="宋体" w:hAnsi="宋体" w:cs="宋体"/>
                <w:kern w:val="0"/>
                <w:szCs w:val="21"/>
              </w:rPr>
              <w:t>%</w:t>
            </w:r>
            <w:r>
              <w:rPr>
                <w:rFonts w:hint="eastAsia" w:ascii="宋体" w:hAnsi="宋体" w:cs="宋体"/>
                <w:kern w:val="0"/>
                <w:szCs w:val="21"/>
              </w:rPr>
              <w:t>）</w:t>
            </w:r>
          </w:p>
        </w:tc>
        <w:tc>
          <w:tcPr>
            <w:tcW w:w="126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本季度求职人数（人）</w:t>
            </w:r>
          </w:p>
        </w:tc>
        <w:tc>
          <w:tcPr>
            <w:tcW w:w="126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本季度求职比重（</w:t>
            </w:r>
            <w:r>
              <w:rPr>
                <w:rFonts w:ascii="宋体" w:hAnsi="宋体" w:cs="宋体"/>
                <w:kern w:val="0"/>
                <w:szCs w:val="21"/>
              </w:rPr>
              <w:t>%</w:t>
            </w:r>
            <w:r>
              <w:rPr>
                <w:rFonts w:hint="eastAsia" w:ascii="宋体" w:hAnsi="宋体" w:cs="宋体"/>
                <w:kern w:val="0"/>
                <w:szCs w:val="21"/>
              </w:rPr>
              <w:t>）</w:t>
            </w:r>
          </w:p>
        </w:tc>
        <w:tc>
          <w:tcPr>
            <w:tcW w:w="162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本季度求人倍率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5" w:hRule="atLeast"/>
        </w:trPr>
        <w:tc>
          <w:tcPr>
            <w:tcW w:w="95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男</w:t>
            </w:r>
          </w:p>
        </w:tc>
        <w:tc>
          <w:tcPr>
            <w:tcW w:w="1224"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16226</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32.93%</w:t>
            </w:r>
          </w:p>
        </w:tc>
        <w:tc>
          <w:tcPr>
            <w:tcW w:w="126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21480</w:t>
            </w:r>
          </w:p>
        </w:tc>
        <w:tc>
          <w:tcPr>
            <w:tcW w:w="126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55.30%</w:t>
            </w:r>
          </w:p>
        </w:tc>
        <w:tc>
          <w:tcPr>
            <w:tcW w:w="162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jc w:val="center"/>
              <w:rPr>
                <w:rFonts w:ascii="宋体" w:hAnsi="宋体" w:cs="宋体"/>
                <w:color w:val="000000"/>
                <w:sz w:val="22"/>
                <w:szCs w:val="22"/>
              </w:rPr>
            </w:pPr>
            <w:r>
              <w:rPr>
                <w:rFonts w:hint="eastAsia"/>
                <w:color w:val="000000"/>
                <w:sz w:val="22"/>
                <w:szCs w:val="22"/>
              </w:rPr>
              <w:t>1.29</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5" w:hRule="atLeast"/>
        </w:trPr>
        <w:tc>
          <w:tcPr>
            <w:tcW w:w="95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女</w:t>
            </w:r>
          </w:p>
        </w:tc>
        <w:tc>
          <w:tcPr>
            <w:tcW w:w="1224"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12382</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25.13%</w:t>
            </w:r>
          </w:p>
        </w:tc>
        <w:tc>
          <w:tcPr>
            <w:tcW w:w="126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17366</w:t>
            </w:r>
          </w:p>
        </w:tc>
        <w:tc>
          <w:tcPr>
            <w:tcW w:w="126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44.70%</w:t>
            </w:r>
          </w:p>
        </w:tc>
        <w:tc>
          <w:tcPr>
            <w:tcW w:w="162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jc w:val="center"/>
              <w:rPr>
                <w:rFonts w:hint="eastAsia" w:ascii="宋体" w:hAnsi="宋体" w:eastAsia="宋体" w:cs="宋体"/>
                <w:color w:val="000000"/>
                <w:sz w:val="22"/>
                <w:szCs w:val="22"/>
                <w:lang w:val="en-US" w:eastAsia="zh-CN"/>
              </w:rPr>
            </w:pPr>
            <w:r>
              <w:rPr>
                <w:rFonts w:hint="eastAsia"/>
                <w:color w:val="000000"/>
                <w:sz w:val="22"/>
                <w:szCs w:val="22"/>
              </w:rPr>
              <w:t>1.2</w:t>
            </w:r>
            <w:r>
              <w:rPr>
                <w:rFonts w:hint="eastAsia"/>
                <w:color w:val="000000"/>
                <w:sz w:val="22"/>
                <w:szCs w:val="22"/>
                <w:lang w:val="en-US" w:eastAsia="zh-CN"/>
              </w:rPr>
              <w:t>5</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5" w:hRule="atLeast"/>
        </w:trPr>
        <w:tc>
          <w:tcPr>
            <w:tcW w:w="95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无要求</w:t>
            </w:r>
          </w:p>
        </w:tc>
        <w:tc>
          <w:tcPr>
            <w:tcW w:w="1224"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20667</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41.94%</w:t>
            </w:r>
          </w:p>
        </w:tc>
        <w:tc>
          <w:tcPr>
            <w:tcW w:w="126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62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jc w:val="center"/>
              <w:rPr>
                <w:rFonts w:ascii="宋体" w:hAnsi="宋体" w:cs="宋体"/>
                <w:sz w:val="22"/>
                <w:szCs w:val="22"/>
              </w:rPr>
            </w:pPr>
            <w:r>
              <w:rPr>
                <w:rFonts w:hint="eastAsia"/>
                <w:sz w:val="22"/>
                <w:szCs w:val="22"/>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5" w:hRule="atLeast"/>
        </w:trPr>
        <w:tc>
          <w:tcPr>
            <w:tcW w:w="95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合计</w:t>
            </w:r>
          </w:p>
        </w:tc>
        <w:tc>
          <w:tcPr>
            <w:tcW w:w="1224"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49275</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100.00%</w:t>
            </w:r>
          </w:p>
        </w:tc>
        <w:tc>
          <w:tcPr>
            <w:tcW w:w="126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38846</w:t>
            </w:r>
          </w:p>
        </w:tc>
        <w:tc>
          <w:tcPr>
            <w:tcW w:w="126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100.00%</w:t>
            </w:r>
          </w:p>
        </w:tc>
        <w:tc>
          <w:tcPr>
            <w:tcW w:w="162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jc w:val="center"/>
              <w:rPr>
                <w:rFonts w:hint="eastAsia" w:ascii="宋体" w:hAnsi="宋体" w:eastAsia="宋体" w:cs="宋体"/>
                <w:sz w:val="22"/>
                <w:szCs w:val="22"/>
                <w:lang w:eastAsia="zh-CN"/>
              </w:rPr>
            </w:pPr>
            <w:r>
              <w:rPr>
                <w:rFonts w:hint="eastAsia"/>
                <w:sz w:val="22"/>
                <w:szCs w:val="22"/>
              </w:rPr>
              <w:t>1.2</w:t>
            </w:r>
            <w:r>
              <w:rPr>
                <w:rFonts w:hint="eastAsia"/>
                <w:sz w:val="22"/>
                <w:szCs w:val="22"/>
                <w:lang w:val="en-US" w:eastAsia="zh-CN"/>
              </w:rPr>
              <w:t>7</w:t>
            </w:r>
          </w:p>
        </w:tc>
      </w:tr>
    </w:tbl>
    <w:p>
      <w:pPr>
        <w:adjustRightInd w:val="0"/>
        <w:snapToGrid w:val="0"/>
        <w:spacing w:line="360" w:lineRule="auto"/>
        <w:rPr>
          <w:rFonts w:ascii="宋体" w:hAnsi="宋体"/>
          <w:color w:val="FF0000"/>
          <w:szCs w:val="21"/>
        </w:rPr>
      </w:pPr>
    </w:p>
    <w:p>
      <w:pPr>
        <w:adjustRightInd w:val="0"/>
        <w:snapToGrid w:val="0"/>
        <w:spacing w:line="360" w:lineRule="auto"/>
        <w:rPr>
          <w:rFonts w:ascii="宋体" w:hAnsi="宋体"/>
          <w:szCs w:val="21"/>
        </w:rPr>
      </w:pPr>
      <w:r>
        <w:rPr>
          <w:rFonts w:hint="eastAsia" w:ascii="宋体" w:hAnsi="宋体"/>
          <w:szCs w:val="21"/>
        </w:rPr>
        <w:t xml:space="preserve">2. </w:t>
      </w:r>
      <w:r>
        <w:rPr>
          <w:rFonts w:ascii="宋体" w:hAnsi="宋体"/>
          <w:szCs w:val="21"/>
        </w:rPr>
        <w:t>年龄</w:t>
      </w:r>
    </w:p>
    <w:p>
      <w:pPr>
        <w:spacing w:line="360" w:lineRule="auto"/>
        <w:ind w:firstLine="420" w:firstLineChars="200"/>
        <w:rPr>
          <w:rFonts w:ascii="宋体" w:hAnsi="宋体" w:cs="宋体"/>
          <w:kern w:val="0"/>
          <w:szCs w:val="21"/>
        </w:rPr>
      </w:pPr>
      <w:r>
        <w:rPr>
          <w:rFonts w:ascii="宋体" w:hAnsi="宋体" w:cs="宋体"/>
          <w:kern w:val="0"/>
          <w:szCs w:val="21"/>
        </w:rPr>
        <w:t>从</w:t>
      </w:r>
      <w:r>
        <w:rPr>
          <w:rFonts w:hint="eastAsia" w:ascii="宋体" w:hAnsi="宋体" w:cs="宋体"/>
          <w:kern w:val="0"/>
          <w:szCs w:val="21"/>
        </w:rPr>
        <w:t>下图</w:t>
      </w:r>
      <w:r>
        <w:rPr>
          <w:rFonts w:ascii="宋体" w:hAnsi="宋体" w:cs="宋体"/>
          <w:kern w:val="0"/>
          <w:szCs w:val="21"/>
        </w:rPr>
        <w:t>可以看出</w:t>
      </w:r>
      <w:r>
        <w:rPr>
          <w:rFonts w:hint="eastAsia" w:ascii="宋体" w:hAnsi="宋体" w:cs="宋体"/>
          <w:kern w:val="0"/>
          <w:szCs w:val="21"/>
        </w:rPr>
        <w:t>，</w:t>
      </w:r>
      <w:r>
        <w:rPr>
          <w:rFonts w:ascii="宋体" w:hAnsi="宋体" w:cs="宋体"/>
          <w:kern w:val="0"/>
          <w:szCs w:val="21"/>
        </w:rPr>
        <w:t>本季度需求人数最多的是</w:t>
      </w:r>
      <w:r>
        <w:rPr>
          <w:rFonts w:hint="eastAsia" w:ascii="宋体" w:hAnsi="宋体" w:cs="宋体"/>
          <w:kern w:val="0"/>
          <w:szCs w:val="21"/>
        </w:rPr>
        <w:t>35-44</w:t>
      </w:r>
      <w:r>
        <w:rPr>
          <w:rFonts w:ascii="宋体" w:hAnsi="宋体" w:cs="宋体"/>
          <w:kern w:val="0"/>
          <w:szCs w:val="21"/>
        </w:rPr>
        <w:t>岁这一年龄段，需求比重</w:t>
      </w:r>
      <w:r>
        <w:rPr>
          <w:rFonts w:hint="eastAsia" w:ascii="宋体" w:hAnsi="宋体" w:cs="宋体"/>
          <w:kern w:val="0"/>
          <w:szCs w:val="21"/>
        </w:rPr>
        <w:t>为</w:t>
      </w:r>
      <w:r>
        <w:rPr>
          <w:rFonts w:hint="eastAsia" w:ascii="宋体" w:hAnsi="宋体" w:cs="宋体"/>
          <w:kern w:val="0"/>
          <w:szCs w:val="21"/>
          <w:lang w:val="en-US" w:eastAsia="zh-CN"/>
        </w:rPr>
        <w:t>40.14</w:t>
      </w:r>
      <w:r>
        <w:rPr>
          <w:rFonts w:ascii="宋体" w:hAnsi="宋体" w:cs="宋体"/>
          <w:kern w:val="0"/>
          <w:szCs w:val="21"/>
        </w:rPr>
        <w:t>%，需求量最少的仍然是45岁以上，需求比重仅为</w:t>
      </w:r>
      <w:r>
        <w:rPr>
          <w:rFonts w:hint="eastAsia" w:ascii="宋体" w:hAnsi="宋体" w:cs="宋体"/>
          <w:kern w:val="0"/>
          <w:szCs w:val="21"/>
          <w:lang w:val="en-US" w:eastAsia="zh-CN"/>
        </w:rPr>
        <w:t>3</w:t>
      </w:r>
      <w:r>
        <w:rPr>
          <w:rFonts w:hint="eastAsia" w:ascii="宋体" w:hAnsi="宋体" w:cs="宋体"/>
          <w:kern w:val="0"/>
          <w:szCs w:val="21"/>
        </w:rPr>
        <w:t>.0</w:t>
      </w:r>
      <w:r>
        <w:rPr>
          <w:rFonts w:ascii="宋体" w:hAnsi="宋体" w:cs="宋体"/>
          <w:kern w:val="0"/>
          <w:szCs w:val="21"/>
        </w:rPr>
        <w:t>%</w:t>
      </w:r>
      <w:r>
        <w:rPr>
          <w:rFonts w:hint="eastAsia" w:ascii="宋体" w:hAnsi="宋体" w:cs="宋体"/>
          <w:kern w:val="0"/>
          <w:szCs w:val="21"/>
        </w:rPr>
        <w:t>。</w:t>
      </w:r>
      <w:r>
        <w:rPr>
          <w:rFonts w:ascii="宋体" w:hAnsi="宋体" w:cs="宋体"/>
          <w:kern w:val="0"/>
          <w:szCs w:val="21"/>
        </w:rPr>
        <w:t>从求职来看，25-34岁和</w:t>
      </w:r>
      <w:r>
        <w:rPr>
          <w:rFonts w:hint="eastAsia" w:ascii="宋体" w:hAnsi="宋体" w:cs="宋体"/>
          <w:kern w:val="0"/>
          <w:szCs w:val="21"/>
        </w:rPr>
        <w:t>35-44岁</w:t>
      </w:r>
      <w:r>
        <w:rPr>
          <w:rFonts w:ascii="宋体" w:hAnsi="宋体" w:cs="宋体"/>
          <w:kern w:val="0"/>
          <w:szCs w:val="21"/>
        </w:rPr>
        <w:t>的求职人群依旧是求职主体，求职比重分别为</w:t>
      </w:r>
      <w:r>
        <w:rPr>
          <w:rFonts w:hint="eastAsia" w:ascii="宋体" w:hAnsi="宋体" w:cs="宋体"/>
          <w:kern w:val="0"/>
          <w:szCs w:val="21"/>
          <w:lang w:val="en-US" w:eastAsia="zh-CN"/>
        </w:rPr>
        <w:t>33.32</w:t>
      </w:r>
      <w:r>
        <w:rPr>
          <w:rFonts w:ascii="宋体" w:hAnsi="宋体" w:cs="宋体"/>
          <w:kern w:val="0"/>
          <w:szCs w:val="21"/>
        </w:rPr>
        <w:t>%和</w:t>
      </w:r>
      <w:r>
        <w:rPr>
          <w:rFonts w:hint="eastAsia" w:ascii="宋体" w:hAnsi="宋体" w:cs="宋体"/>
          <w:kern w:val="0"/>
          <w:szCs w:val="21"/>
        </w:rPr>
        <w:t>3</w:t>
      </w:r>
      <w:r>
        <w:rPr>
          <w:rFonts w:hint="eastAsia" w:ascii="宋体" w:hAnsi="宋体" w:cs="宋体"/>
          <w:kern w:val="0"/>
          <w:szCs w:val="21"/>
          <w:lang w:val="en-US" w:eastAsia="zh-CN"/>
        </w:rPr>
        <w:t>2.72</w:t>
      </w:r>
      <w:r>
        <w:rPr>
          <w:rFonts w:ascii="宋体" w:hAnsi="宋体" w:cs="宋体"/>
          <w:kern w:val="0"/>
          <w:szCs w:val="21"/>
        </w:rPr>
        <w:t>%。</w:t>
      </w:r>
    </w:p>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表10. 按年龄分组的供求人数</w:t>
      </w:r>
    </w:p>
    <w:tbl>
      <w:tblPr>
        <w:tblStyle w:val="6"/>
        <w:tblW w:w="5775" w:type="dxa"/>
        <w:tblInd w:w="93"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095"/>
        <w:gridCol w:w="900"/>
        <w:gridCol w:w="900"/>
        <w:gridCol w:w="900"/>
        <w:gridCol w:w="900"/>
        <w:gridCol w:w="108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397" w:hRule="atLeast"/>
        </w:trPr>
        <w:tc>
          <w:tcPr>
            <w:tcW w:w="1095" w:type="dxa"/>
            <w:vMerge w:val="restart"/>
            <w:tcBorders>
              <w:top w:val="single" w:color="auto" w:sz="8" w:space="0"/>
              <w:left w:val="single" w:color="auto" w:sz="8" w:space="0"/>
              <w:bottom w:val="single" w:color="000000"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年龄</w:t>
            </w:r>
          </w:p>
        </w:tc>
        <w:tc>
          <w:tcPr>
            <w:tcW w:w="4680"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劳动力供求人数比较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397" w:hRule="atLeast"/>
        </w:trPr>
        <w:tc>
          <w:tcPr>
            <w:tcW w:w="1095" w:type="dxa"/>
            <w:vMerge w:val="continue"/>
            <w:tcBorders>
              <w:top w:val="single" w:color="auto" w:sz="8" w:space="0"/>
              <w:left w:val="single" w:color="auto" w:sz="8" w:space="0"/>
              <w:bottom w:val="single" w:color="000000" w:sz="8" w:space="0"/>
              <w:right w:val="single" w:color="auto" w:sz="8" w:space="0"/>
            </w:tcBorders>
            <w:vAlign w:val="center"/>
          </w:tcPr>
          <w:p>
            <w:pPr>
              <w:widowControl/>
              <w:spacing w:line="360" w:lineRule="auto"/>
              <w:jc w:val="left"/>
              <w:rPr>
                <w:rFonts w:ascii="宋体" w:hAnsi="宋体" w:cs="宋体"/>
                <w:kern w:val="0"/>
                <w:szCs w:val="21"/>
              </w:rPr>
            </w:pPr>
          </w:p>
        </w:tc>
        <w:tc>
          <w:tcPr>
            <w:tcW w:w="90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本季度需求人数（人）</w:t>
            </w:r>
          </w:p>
        </w:tc>
        <w:tc>
          <w:tcPr>
            <w:tcW w:w="90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本季度需求比重（</w:t>
            </w:r>
            <w:r>
              <w:rPr>
                <w:rFonts w:ascii="宋体" w:hAnsi="宋体" w:cs="宋体"/>
                <w:kern w:val="0"/>
                <w:szCs w:val="21"/>
              </w:rPr>
              <w:t>%</w:t>
            </w:r>
            <w:r>
              <w:rPr>
                <w:rFonts w:hint="eastAsia" w:ascii="宋体" w:hAnsi="宋体" w:cs="宋体"/>
                <w:kern w:val="0"/>
                <w:szCs w:val="21"/>
              </w:rPr>
              <w:t>）</w:t>
            </w:r>
          </w:p>
        </w:tc>
        <w:tc>
          <w:tcPr>
            <w:tcW w:w="90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本季度求职人数（人）</w:t>
            </w:r>
          </w:p>
        </w:tc>
        <w:tc>
          <w:tcPr>
            <w:tcW w:w="90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本季度求职比重（</w:t>
            </w:r>
            <w:r>
              <w:rPr>
                <w:rFonts w:ascii="宋体" w:hAnsi="宋体" w:cs="宋体"/>
                <w:kern w:val="0"/>
                <w:szCs w:val="21"/>
              </w:rPr>
              <w:t>%</w:t>
            </w:r>
            <w:r>
              <w:rPr>
                <w:rFonts w:hint="eastAsia" w:ascii="宋体" w:hAnsi="宋体" w:cs="宋体"/>
                <w:kern w:val="0"/>
                <w:szCs w:val="21"/>
              </w:rPr>
              <w:t>）</w:t>
            </w:r>
          </w:p>
        </w:tc>
        <w:tc>
          <w:tcPr>
            <w:tcW w:w="108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本季度求人倍率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trPr>
        <w:tc>
          <w:tcPr>
            <w:tcW w:w="109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16-24岁</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14173</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36.53%</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12591</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32.41%</w:t>
            </w:r>
          </w:p>
        </w:tc>
        <w:tc>
          <w:tcPr>
            <w:tcW w:w="108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jc w:val="center"/>
              <w:rPr>
                <w:rFonts w:hint="default" w:ascii="宋体" w:hAnsi="宋体" w:eastAsia="宋体" w:cs="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21</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trPr>
        <w:tc>
          <w:tcPr>
            <w:tcW w:w="109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25-34岁</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14790</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38.12%</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12945</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33.32%</w:t>
            </w:r>
          </w:p>
        </w:tc>
        <w:tc>
          <w:tcPr>
            <w:tcW w:w="108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jc w:val="center"/>
              <w:rPr>
                <w:rFonts w:hint="default" w:ascii="宋体" w:hAnsi="宋体" w:eastAsia="宋体" w:cs="宋体"/>
                <w:color w:val="000000"/>
                <w:sz w:val="22"/>
                <w:szCs w:val="22"/>
                <w:lang w:val="en-US" w:eastAsia="zh-CN"/>
              </w:rPr>
            </w:pPr>
            <w:r>
              <w:rPr>
                <w:rFonts w:hint="eastAsia"/>
                <w:color w:val="000000"/>
                <w:sz w:val="22"/>
                <w:szCs w:val="22"/>
              </w:rPr>
              <w:t>1.</w:t>
            </w:r>
            <w:r>
              <w:rPr>
                <w:rFonts w:hint="eastAsia"/>
                <w:color w:val="000000"/>
                <w:sz w:val="22"/>
                <w:szCs w:val="22"/>
                <w:lang w:val="en-US" w:eastAsia="zh-CN"/>
              </w:rPr>
              <w:t>23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trPr>
        <w:tc>
          <w:tcPr>
            <w:tcW w:w="109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35-44岁</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15571</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40.14%</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12712</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32.72%</w:t>
            </w:r>
          </w:p>
        </w:tc>
        <w:tc>
          <w:tcPr>
            <w:tcW w:w="108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jc w:val="center"/>
              <w:rPr>
                <w:rFonts w:hint="eastAsia" w:ascii="宋体" w:hAnsi="宋体" w:eastAsia="宋体" w:cs="宋体"/>
                <w:color w:val="000000"/>
                <w:sz w:val="22"/>
                <w:szCs w:val="22"/>
                <w:lang w:val="en-US" w:eastAsia="zh-CN"/>
              </w:rPr>
            </w:pPr>
            <w:r>
              <w:rPr>
                <w:rFonts w:hint="eastAsia"/>
                <w:color w:val="000000"/>
                <w:sz w:val="22"/>
                <w:szCs w:val="22"/>
              </w:rPr>
              <w:t>1.3</w:t>
            </w:r>
            <w:r>
              <w:rPr>
                <w:rFonts w:hint="eastAsia"/>
                <w:color w:val="000000"/>
                <w:sz w:val="22"/>
                <w:szCs w:val="22"/>
                <w:lang w:val="en-US" w:eastAsia="zh-CN"/>
              </w:rPr>
              <w:t>1</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trPr>
        <w:tc>
          <w:tcPr>
            <w:tcW w:w="109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45岁以上</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1164</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3.00%</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598</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1.54%</w:t>
            </w:r>
          </w:p>
        </w:tc>
        <w:tc>
          <w:tcPr>
            <w:tcW w:w="108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jc w:val="center"/>
              <w:rPr>
                <w:rFonts w:hint="default" w:ascii="宋体" w:hAnsi="宋体" w:eastAsia="宋体" w:cs="宋体"/>
                <w:color w:val="000000"/>
                <w:sz w:val="22"/>
                <w:szCs w:val="22"/>
                <w:lang w:val="en-US" w:eastAsia="zh-CN"/>
              </w:rPr>
            </w:pPr>
            <w:r>
              <w:rPr>
                <w:rFonts w:hint="default" w:ascii="Times New Roman" w:hAnsi="Times New Roman" w:cs="Times New Roman"/>
                <w:color w:val="000000"/>
                <w:sz w:val="22"/>
                <w:szCs w:val="22"/>
                <w:lang w:val="en-US" w:eastAsia="zh-CN"/>
              </w:rPr>
              <w:t>2.03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trPr>
        <w:tc>
          <w:tcPr>
            <w:tcW w:w="109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无要求</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3577</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9.22%</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08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bottom"/>
          </w:tcPr>
          <w:p>
            <w:pPr>
              <w:spacing w:line="360" w:lineRule="auto"/>
              <w:jc w:val="center"/>
              <w:rPr>
                <w:rFonts w:ascii="宋体" w:hAnsi="宋体" w:cs="宋体"/>
                <w:szCs w:val="21"/>
              </w:rPr>
            </w:pPr>
            <w:r>
              <w:rPr>
                <w:rFonts w:hint="eastAsia" w:ascii="宋体" w:hAnsi="宋体" w:cs="宋体"/>
                <w:szCs w:val="21"/>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trPr>
        <w:tc>
          <w:tcPr>
            <w:tcW w:w="109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合计</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49275</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127.02%</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38846</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100.00%</w:t>
            </w:r>
          </w:p>
        </w:tc>
        <w:tc>
          <w:tcPr>
            <w:tcW w:w="108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bottom"/>
          </w:tcPr>
          <w:p>
            <w:pPr>
              <w:spacing w:line="360" w:lineRule="auto"/>
              <w:jc w:val="center"/>
              <w:rPr>
                <w:rFonts w:hint="eastAsia" w:ascii="宋体" w:hAnsi="宋体" w:eastAsia="宋体" w:cs="宋体"/>
                <w:szCs w:val="21"/>
                <w:lang w:val="en-US" w:eastAsia="zh-CN"/>
              </w:rPr>
            </w:pPr>
            <w:r>
              <w:rPr>
                <w:rFonts w:hint="eastAsia" w:ascii="宋体" w:hAnsi="宋体" w:cs="宋体"/>
                <w:szCs w:val="21"/>
              </w:rPr>
              <w:t>1.2</w:t>
            </w:r>
            <w:r>
              <w:rPr>
                <w:rFonts w:hint="eastAsia" w:ascii="宋体" w:hAnsi="宋体" w:cs="宋体"/>
                <w:szCs w:val="21"/>
                <w:lang w:val="en-US" w:eastAsia="zh-CN"/>
              </w:rPr>
              <w:t>7</w:t>
            </w:r>
          </w:p>
        </w:tc>
      </w:tr>
    </w:tbl>
    <w:p>
      <w:pPr>
        <w:adjustRightInd w:val="0"/>
        <w:snapToGrid w:val="0"/>
        <w:spacing w:line="360" w:lineRule="auto"/>
        <w:rPr>
          <w:rFonts w:ascii="宋体" w:hAnsi="宋体"/>
          <w:color w:val="FF0000"/>
          <w:szCs w:val="21"/>
        </w:rPr>
      </w:pPr>
    </w:p>
    <w:p>
      <w:pPr>
        <w:adjustRightInd w:val="0"/>
        <w:snapToGrid w:val="0"/>
        <w:spacing w:line="360" w:lineRule="auto"/>
        <w:rPr>
          <w:rFonts w:ascii="宋体" w:hAnsi="宋体"/>
          <w:szCs w:val="21"/>
        </w:rPr>
      </w:pPr>
      <w:r>
        <w:rPr>
          <w:rFonts w:hint="eastAsia" w:ascii="宋体" w:hAnsi="宋体"/>
          <w:szCs w:val="21"/>
        </w:rPr>
        <w:t xml:space="preserve">3. </w:t>
      </w:r>
      <w:r>
        <w:rPr>
          <w:rFonts w:ascii="宋体" w:hAnsi="宋体"/>
          <w:szCs w:val="21"/>
        </w:rPr>
        <w:t>文化程度</w:t>
      </w:r>
    </w:p>
    <w:p>
      <w:pPr>
        <w:widowControl/>
        <w:spacing w:before="100" w:beforeAutospacing="1" w:after="100" w:afterAutospacing="1" w:line="360" w:lineRule="auto"/>
        <w:ind w:firstLine="601"/>
        <w:jc w:val="left"/>
        <w:rPr>
          <w:rFonts w:ascii="宋体" w:hAnsi="宋体" w:cs="宋体"/>
          <w:kern w:val="0"/>
          <w:szCs w:val="21"/>
        </w:rPr>
      </w:pPr>
      <w:r>
        <w:rPr>
          <w:rFonts w:hint="eastAsia" w:ascii="宋体" w:hAnsi="宋体" w:cs="宋体"/>
          <w:kern w:val="0"/>
          <w:szCs w:val="21"/>
        </w:rPr>
        <w:t>在需求人群中，本季度大专和高中任然是需求比重最大的，在求职人群中，也是高中及大专占了总求职的绝大多数。总体上讲，文化水平虽然在逐渐提高，但还是以高中和大专为主，高学历人才相对较少，本科比例为16.</w:t>
      </w:r>
      <w:r>
        <w:rPr>
          <w:rFonts w:hint="eastAsia" w:ascii="宋体" w:hAnsi="宋体" w:cs="宋体"/>
          <w:kern w:val="0"/>
          <w:szCs w:val="21"/>
          <w:lang w:val="en-US" w:eastAsia="zh-CN"/>
        </w:rPr>
        <w:t>19</w:t>
      </w:r>
      <w:r>
        <w:rPr>
          <w:rFonts w:hint="eastAsia" w:ascii="宋体" w:hAnsi="宋体" w:cs="宋体"/>
          <w:kern w:val="0"/>
          <w:szCs w:val="21"/>
        </w:rPr>
        <w:t xml:space="preserve">%，硕士以上人员比例仅占0.34%。 </w:t>
      </w:r>
    </w:p>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表11. 按文化程度分组的供求人数</w:t>
      </w:r>
    </w:p>
    <w:tbl>
      <w:tblPr>
        <w:tblStyle w:val="6"/>
        <w:tblW w:w="4912" w:type="pct"/>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307"/>
        <w:gridCol w:w="1135"/>
        <w:gridCol w:w="1077"/>
        <w:gridCol w:w="1259"/>
        <w:gridCol w:w="1797"/>
        <w:gridCol w:w="179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trPr>
        <w:tc>
          <w:tcPr>
            <w:tcW w:w="781" w:type="pct"/>
            <w:vMerge w:val="restart"/>
            <w:tcBorders>
              <w:top w:val="single" w:color="auto" w:sz="8" w:space="0"/>
              <w:left w:val="single" w:color="auto" w:sz="8" w:space="0"/>
              <w:bottom w:val="single" w:color="000000"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文化程度</w:t>
            </w:r>
          </w:p>
        </w:tc>
        <w:tc>
          <w:tcPr>
            <w:tcW w:w="4219" w:type="pct"/>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劳动力供求人数比较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trPr>
        <w:tc>
          <w:tcPr>
            <w:tcW w:w="781" w:type="pct"/>
            <w:vMerge w:val="continue"/>
            <w:tcBorders>
              <w:top w:val="single" w:color="auto" w:sz="8" w:space="0"/>
              <w:left w:val="single" w:color="auto" w:sz="8" w:space="0"/>
              <w:bottom w:val="single" w:color="000000" w:sz="8" w:space="0"/>
              <w:right w:val="single" w:color="auto" w:sz="8" w:space="0"/>
            </w:tcBorders>
            <w:vAlign w:val="center"/>
          </w:tcPr>
          <w:p>
            <w:pPr>
              <w:widowControl/>
              <w:spacing w:line="360" w:lineRule="auto"/>
              <w:jc w:val="center"/>
              <w:rPr>
                <w:rFonts w:ascii="宋体" w:hAnsi="宋体" w:cs="宋体"/>
                <w:kern w:val="0"/>
                <w:szCs w:val="21"/>
              </w:rPr>
            </w:pPr>
          </w:p>
        </w:tc>
        <w:tc>
          <w:tcPr>
            <w:tcW w:w="678" w:type="pct"/>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本季度需求人数(人)</w:t>
            </w:r>
          </w:p>
        </w:tc>
        <w:tc>
          <w:tcPr>
            <w:tcW w:w="643" w:type="pct"/>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本季度需求比重(%)</w:t>
            </w:r>
          </w:p>
        </w:tc>
        <w:tc>
          <w:tcPr>
            <w:tcW w:w="752" w:type="pct"/>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本季度求职人数(人)</w:t>
            </w:r>
          </w:p>
        </w:tc>
        <w:tc>
          <w:tcPr>
            <w:tcW w:w="1073" w:type="pct"/>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本季度求职比重 (%)</w:t>
            </w:r>
          </w:p>
        </w:tc>
        <w:tc>
          <w:tcPr>
            <w:tcW w:w="1073" w:type="pct"/>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本季度求人倍率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15" w:hRule="atLeast"/>
        </w:trPr>
        <w:tc>
          <w:tcPr>
            <w:tcW w:w="781"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初中及以下</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6008</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12.19%</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4817</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12.40%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1.25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1" w:hRule="atLeast"/>
        </w:trPr>
        <w:tc>
          <w:tcPr>
            <w:tcW w:w="781"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高中</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14109</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28.63%</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10782</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27.76%</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1.31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781"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其中：职高、技校、中专</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6420</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13.03%</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4739</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12.20%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1.35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23" w:hRule="atLeast"/>
        </w:trPr>
        <w:tc>
          <w:tcPr>
            <w:tcW w:w="781"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大专</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21009</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42.64%</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16425</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42.28%</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1.28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43" w:hRule="atLeast"/>
        </w:trPr>
        <w:tc>
          <w:tcPr>
            <w:tcW w:w="781"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大学</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7980</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16.19%</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6682</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17.20%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1.19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49" w:hRule="atLeast"/>
        </w:trPr>
        <w:tc>
          <w:tcPr>
            <w:tcW w:w="781"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硕士以上</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169</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0.34%</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140</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0.36%</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1.21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5" w:hRule="atLeast"/>
        </w:trPr>
        <w:tc>
          <w:tcPr>
            <w:tcW w:w="781"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无要求</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33" w:hRule="atLeast"/>
        </w:trPr>
        <w:tc>
          <w:tcPr>
            <w:tcW w:w="781" w:type="pct"/>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合计</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49275</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100.00%</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38846</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100.00%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1.27 </w:t>
            </w:r>
          </w:p>
        </w:tc>
      </w:tr>
    </w:tbl>
    <w:p>
      <w:pPr>
        <w:adjustRightInd w:val="0"/>
        <w:snapToGrid w:val="0"/>
        <w:spacing w:line="360" w:lineRule="auto"/>
        <w:rPr>
          <w:rFonts w:ascii="宋体" w:hAnsi="宋体"/>
          <w:color w:val="FF0000"/>
          <w:szCs w:val="21"/>
        </w:rPr>
      </w:pPr>
    </w:p>
    <w:p>
      <w:pPr>
        <w:adjustRightInd w:val="0"/>
        <w:snapToGrid w:val="0"/>
        <w:spacing w:line="360" w:lineRule="auto"/>
        <w:rPr>
          <w:rFonts w:ascii="宋体" w:hAnsi="宋体"/>
          <w:szCs w:val="21"/>
        </w:rPr>
      </w:pPr>
      <w:r>
        <w:rPr>
          <w:rFonts w:hint="eastAsia" w:ascii="宋体" w:hAnsi="宋体"/>
          <w:szCs w:val="21"/>
        </w:rPr>
        <w:t xml:space="preserve">4. </w:t>
      </w:r>
      <w:r>
        <w:rPr>
          <w:rFonts w:ascii="宋体" w:hAnsi="宋体"/>
          <w:szCs w:val="21"/>
        </w:rPr>
        <w:t>技术等级或职称</w:t>
      </w:r>
    </w:p>
    <w:p>
      <w:pPr>
        <w:adjustRightInd w:val="0"/>
        <w:snapToGrid w:val="0"/>
        <w:spacing w:line="360" w:lineRule="auto"/>
        <w:ind w:firstLine="420" w:firstLineChars="200"/>
        <w:jc w:val="left"/>
        <w:rPr>
          <w:rFonts w:ascii="宋体" w:hAnsi="宋体"/>
          <w:szCs w:val="21"/>
        </w:rPr>
      </w:pPr>
      <w:r>
        <w:rPr>
          <w:rFonts w:hint="eastAsia" w:ascii="宋体" w:hAnsi="宋体"/>
          <w:szCs w:val="21"/>
        </w:rPr>
        <w:t>按技术等级分类，需求中无要求的占48.60%，求职者中无技术等级和职称的占49.79%，这两者仍然是需求和求职的主要构成部分，与去年同期相比，</w:t>
      </w:r>
      <w:r>
        <w:rPr>
          <w:rFonts w:ascii="宋体" w:hAnsi="宋体"/>
          <w:szCs w:val="21"/>
        </w:rPr>
        <w:t>企业</w:t>
      </w:r>
      <w:r>
        <w:rPr>
          <w:rFonts w:hint="eastAsia" w:ascii="宋体" w:hAnsi="宋体"/>
          <w:szCs w:val="21"/>
        </w:rPr>
        <w:t>对于有高技能的人才需要略有增加，而求职者中有职业资格专业技术的比例也逐年上升。</w:t>
      </w:r>
    </w:p>
    <w:p>
      <w:pPr>
        <w:adjustRightInd w:val="0"/>
        <w:snapToGrid w:val="0"/>
        <w:spacing w:line="360" w:lineRule="auto"/>
        <w:jc w:val="center"/>
        <w:rPr>
          <w:rFonts w:ascii="宋体" w:hAnsi="宋体"/>
          <w:szCs w:val="21"/>
        </w:rPr>
      </w:pPr>
      <w:r>
        <w:rPr>
          <w:rFonts w:hint="eastAsia" w:ascii="宋体" w:hAnsi="宋体"/>
          <w:szCs w:val="21"/>
        </w:rPr>
        <w:t xml:space="preserve">表12 </w:t>
      </w:r>
      <w:r>
        <w:rPr>
          <w:rFonts w:ascii="宋体" w:hAnsi="宋体"/>
          <w:szCs w:val="21"/>
        </w:rPr>
        <w:t>按技术等级分组的供求人数</w:t>
      </w:r>
    </w:p>
    <w:tbl>
      <w:tblPr>
        <w:tblStyle w:val="6"/>
        <w:tblW w:w="6678" w:type="dxa"/>
        <w:tblInd w:w="93"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635"/>
        <w:gridCol w:w="1080"/>
        <w:gridCol w:w="900"/>
        <w:gridCol w:w="1080"/>
        <w:gridCol w:w="900"/>
        <w:gridCol w:w="1083"/>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trPr>
        <w:tc>
          <w:tcPr>
            <w:tcW w:w="1635" w:type="dxa"/>
            <w:vMerge w:val="restart"/>
            <w:tcBorders>
              <w:top w:val="single" w:color="auto" w:sz="8" w:space="0"/>
              <w:left w:val="single" w:color="auto" w:sz="8" w:space="0"/>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技术等级</w:t>
            </w:r>
          </w:p>
        </w:tc>
        <w:tc>
          <w:tcPr>
            <w:tcW w:w="5043"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劳动力供求人数比较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trPr>
        <w:tc>
          <w:tcPr>
            <w:tcW w:w="1635" w:type="dxa"/>
            <w:vMerge w:val="continue"/>
            <w:tcBorders>
              <w:top w:val="single" w:color="auto" w:sz="8" w:space="0"/>
              <w:left w:val="single" w:color="auto" w:sz="8" w:space="0"/>
              <w:bottom w:val="single" w:color="auto" w:sz="8" w:space="0"/>
              <w:right w:val="single" w:color="auto" w:sz="8" w:space="0"/>
            </w:tcBorders>
            <w:vAlign w:val="center"/>
          </w:tcPr>
          <w:p>
            <w:pPr>
              <w:widowControl/>
              <w:spacing w:line="360" w:lineRule="auto"/>
              <w:jc w:val="left"/>
              <w:rPr>
                <w:rFonts w:ascii="宋体" w:hAnsi="宋体" w:cs="宋体"/>
                <w:kern w:val="0"/>
                <w:szCs w:val="21"/>
              </w:rPr>
            </w:pPr>
          </w:p>
        </w:tc>
        <w:tc>
          <w:tcPr>
            <w:tcW w:w="108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本季度需求人数（人）</w:t>
            </w:r>
          </w:p>
        </w:tc>
        <w:tc>
          <w:tcPr>
            <w:tcW w:w="90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本季度需求比重（</w:t>
            </w:r>
            <w:r>
              <w:rPr>
                <w:rFonts w:ascii="宋体" w:hAnsi="宋体" w:cs="宋体"/>
                <w:kern w:val="0"/>
                <w:szCs w:val="21"/>
              </w:rPr>
              <w:t>%</w:t>
            </w:r>
            <w:r>
              <w:rPr>
                <w:rFonts w:hint="eastAsia" w:ascii="宋体" w:hAnsi="宋体" w:cs="宋体"/>
                <w:kern w:val="0"/>
                <w:szCs w:val="21"/>
              </w:rPr>
              <w:t>）</w:t>
            </w:r>
          </w:p>
        </w:tc>
        <w:tc>
          <w:tcPr>
            <w:tcW w:w="108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本季度求职人数（人）</w:t>
            </w:r>
          </w:p>
        </w:tc>
        <w:tc>
          <w:tcPr>
            <w:tcW w:w="90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本季度求职比重（</w:t>
            </w:r>
            <w:r>
              <w:rPr>
                <w:rFonts w:ascii="宋体" w:hAnsi="宋体" w:cs="宋体"/>
                <w:kern w:val="0"/>
                <w:szCs w:val="21"/>
              </w:rPr>
              <w:t>%</w:t>
            </w:r>
            <w:r>
              <w:rPr>
                <w:rFonts w:hint="eastAsia" w:ascii="宋体" w:hAnsi="宋体" w:cs="宋体"/>
                <w:kern w:val="0"/>
                <w:szCs w:val="21"/>
              </w:rPr>
              <w:t>）</w:t>
            </w:r>
          </w:p>
        </w:tc>
        <w:tc>
          <w:tcPr>
            <w:tcW w:w="1083"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本季度求人倍率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63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职业资格五级</w:t>
            </w:r>
            <w:r>
              <w:rPr>
                <w:rFonts w:hint="eastAsia" w:ascii="宋体" w:hAnsi="宋体" w:cs="宋体"/>
                <w:kern w:val="0"/>
                <w:szCs w:val="21"/>
              </w:rPr>
              <w:br w:type="textWrapping"/>
            </w:r>
            <w:r>
              <w:rPr>
                <w:rFonts w:hint="eastAsia" w:ascii="宋体" w:hAnsi="宋体" w:cs="宋体"/>
                <w:kern w:val="0"/>
                <w:szCs w:val="21"/>
              </w:rPr>
              <w:t>(初级技能)</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15433</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31.32%</w:t>
            </w:r>
          </w:p>
        </w:tc>
        <w:tc>
          <w:tcPr>
            <w:tcW w:w="108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14211</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36.58%</w:t>
            </w:r>
          </w:p>
        </w:tc>
        <w:tc>
          <w:tcPr>
            <w:tcW w:w="1083"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1.09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63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职业资格四级</w:t>
            </w:r>
            <w:r>
              <w:rPr>
                <w:rFonts w:hint="eastAsia" w:ascii="宋体" w:hAnsi="宋体" w:cs="宋体"/>
                <w:kern w:val="0"/>
                <w:szCs w:val="21"/>
              </w:rPr>
              <w:br w:type="textWrapping"/>
            </w:r>
            <w:r>
              <w:rPr>
                <w:rFonts w:hint="eastAsia" w:ascii="宋体" w:hAnsi="宋体" w:cs="宋体"/>
                <w:kern w:val="0"/>
                <w:szCs w:val="21"/>
              </w:rPr>
              <w:t>(中级技能)</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5278</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10.71%</w:t>
            </w:r>
          </w:p>
        </w:tc>
        <w:tc>
          <w:tcPr>
            <w:tcW w:w="108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2443</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6.29%</w:t>
            </w:r>
          </w:p>
        </w:tc>
        <w:tc>
          <w:tcPr>
            <w:tcW w:w="1083"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2.16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63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职业资格三级</w:t>
            </w:r>
            <w:r>
              <w:rPr>
                <w:rFonts w:hint="eastAsia" w:ascii="宋体" w:hAnsi="宋体" w:cs="宋体"/>
                <w:kern w:val="0"/>
                <w:szCs w:val="21"/>
              </w:rPr>
              <w:br w:type="textWrapping"/>
            </w:r>
            <w:r>
              <w:rPr>
                <w:rFonts w:hint="eastAsia" w:ascii="宋体" w:hAnsi="宋体" w:cs="宋体"/>
                <w:kern w:val="0"/>
                <w:szCs w:val="21"/>
              </w:rPr>
              <w:t>(高级技能)</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2041</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4.14%</w:t>
            </w:r>
          </w:p>
        </w:tc>
        <w:tc>
          <w:tcPr>
            <w:tcW w:w="108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791</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2.04%</w:t>
            </w:r>
          </w:p>
        </w:tc>
        <w:tc>
          <w:tcPr>
            <w:tcW w:w="1083"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2.58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63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职业资格二级(技师)</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366</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0.74%</w:t>
            </w:r>
          </w:p>
        </w:tc>
        <w:tc>
          <w:tcPr>
            <w:tcW w:w="108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212</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0.55%</w:t>
            </w:r>
          </w:p>
        </w:tc>
        <w:tc>
          <w:tcPr>
            <w:tcW w:w="1083"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1.73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63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职业资格一级(高级技师)</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189</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0.38%</w:t>
            </w:r>
          </w:p>
        </w:tc>
        <w:tc>
          <w:tcPr>
            <w:tcW w:w="108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48</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0.12%</w:t>
            </w:r>
          </w:p>
        </w:tc>
        <w:tc>
          <w:tcPr>
            <w:tcW w:w="1083"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3.94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63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初级专业技术职务</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843</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1.71%</w:t>
            </w:r>
          </w:p>
        </w:tc>
        <w:tc>
          <w:tcPr>
            <w:tcW w:w="108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664</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1.71%</w:t>
            </w:r>
          </w:p>
        </w:tc>
        <w:tc>
          <w:tcPr>
            <w:tcW w:w="1083"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1.27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63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中级专业技术职务</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382</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0.78%</w:t>
            </w:r>
          </w:p>
        </w:tc>
        <w:tc>
          <w:tcPr>
            <w:tcW w:w="108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238</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0.61%</w:t>
            </w:r>
          </w:p>
        </w:tc>
        <w:tc>
          <w:tcPr>
            <w:tcW w:w="1083"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1.61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63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高级专业技术职务</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53</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0.11%</w:t>
            </w:r>
          </w:p>
        </w:tc>
        <w:tc>
          <w:tcPr>
            <w:tcW w:w="108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53</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0.14%</w:t>
            </w:r>
          </w:p>
        </w:tc>
        <w:tc>
          <w:tcPr>
            <w:tcW w:w="1083"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1.00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63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无技术等级或职称</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w:t>
            </w:r>
          </w:p>
        </w:tc>
        <w:tc>
          <w:tcPr>
            <w:tcW w:w="108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20186</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51.96%</w:t>
            </w:r>
          </w:p>
        </w:tc>
        <w:tc>
          <w:tcPr>
            <w:tcW w:w="1083"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1.22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63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无要求</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24690</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50.11%</w:t>
            </w:r>
          </w:p>
        </w:tc>
        <w:tc>
          <w:tcPr>
            <w:tcW w:w="108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w:t>
            </w:r>
          </w:p>
        </w:tc>
        <w:tc>
          <w:tcPr>
            <w:tcW w:w="1083"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63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Cs w:val="21"/>
              </w:rPr>
            </w:pPr>
            <w:r>
              <w:rPr>
                <w:rFonts w:hint="eastAsia" w:ascii="宋体" w:hAnsi="宋体" w:cs="宋体"/>
                <w:kern w:val="0"/>
                <w:szCs w:val="21"/>
              </w:rPr>
              <w:t>合计</w:t>
            </w:r>
          </w:p>
        </w:tc>
        <w:tc>
          <w:tcPr>
            <w:tcW w:w="108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49275</w:t>
            </w:r>
          </w:p>
        </w:tc>
        <w:tc>
          <w:tcPr>
            <w:tcW w:w="9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100.00%</w:t>
            </w:r>
          </w:p>
        </w:tc>
        <w:tc>
          <w:tcPr>
            <w:tcW w:w="108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38846</w:t>
            </w:r>
          </w:p>
        </w:tc>
        <w:tc>
          <w:tcPr>
            <w:tcW w:w="9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100.00%</w:t>
            </w:r>
          </w:p>
        </w:tc>
        <w:tc>
          <w:tcPr>
            <w:tcW w:w="1083"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ascii="Times New Roman" w:hAnsi="Times New Roman"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 xml:space="preserve">1.27 </w:t>
            </w:r>
          </w:p>
        </w:tc>
      </w:tr>
    </w:tbl>
    <w:p>
      <w:pPr>
        <w:adjustRightInd w:val="0"/>
        <w:snapToGrid w:val="0"/>
        <w:spacing w:line="360" w:lineRule="auto"/>
        <w:jc w:val="left"/>
        <w:rPr>
          <w:rFonts w:ascii="宋体" w:hAnsi="宋体"/>
          <w:sz w:val="30"/>
          <w:szCs w:val="30"/>
          <w:highlight w:val="yellow"/>
        </w:rPr>
      </w:pPr>
    </w:p>
    <w:p>
      <w:pPr>
        <w:adjustRightInd w:val="0"/>
        <w:snapToGrid w:val="0"/>
        <w:spacing w:line="360" w:lineRule="auto"/>
        <w:jc w:val="left"/>
        <w:rPr>
          <w:rFonts w:ascii="宋体" w:hAnsi="宋体"/>
          <w:b/>
          <w:sz w:val="30"/>
          <w:szCs w:val="30"/>
        </w:rPr>
      </w:pPr>
      <w:r>
        <w:rPr>
          <w:rFonts w:hint="eastAsia" w:ascii="宋体" w:hAnsi="宋体"/>
          <w:sz w:val="30"/>
          <w:szCs w:val="30"/>
        </w:rPr>
        <w:t>三、</w:t>
      </w:r>
      <w:r>
        <w:rPr>
          <w:rFonts w:hint="eastAsia" w:ascii="宋体" w:hAnsi="宋体"/>
          <w:sz w:val="30"/>
          <w:szCs w:val="30"/>
          <w:highlight w:val="none"/>
          <w:lang w:eastAsia="zh-CN"/>
        </w:rPr>
        <w:t>一</w:t>
      </w:r>
      <w:r>
        <w:rPr>
          <w:rFonts w:hint="eastAsia" w:ascii="宋体" w:hAnsi="宋体"/>
          <w:b/>
          <w:sz w:val="30"/>
          <w:szCs w:val="30"/>
          <w:highlight w:val="none"/>
        </w:rPr>
        <w:t>季度人力资源市场运行状况和特点及应对措施</w:t>
      </w:r>
    </w:p>
    <w:p>
      <w:pPr>
        <w:adjustRightInd w:val="0"/>
        <w:snapToGrid w:val="0"/>
        <w:spacing w:line="360" w:lineRule="auto"/>
        <w:jc w:val="left"/>
        <w:rPr>
          <w:rFonts w:ascii="宋体" w:hAnsi="宋体"/>
          <w:b/>
          <w:szCs w:val="21"/>
        </w:rPr>
      </w:pPr>
      <w:r>
        <w:rPr>
          <w:rFonts w:hint="eastAsia" w:ascii="宋体" w:hAnsi="宋体"/>
          <w:b/>
          <w:szCs w:val="21"/>
        </w:rPr>
        <w:t>（一）、</w:t>
      </w:r>
      <w:r>
        <w:rPr>
          <w:rFonts w:hint="eastAsia" w:ascii="宋体" w:hAnsi="宋体"/>
          <w:b/>
          <w:szCs w:val="21"/>
          <w:lang w:eastAsia="zh-CN"/>
        </w:rPr>
        <w:t>一</w:t>
      </w:r>
      <w:r>
        <w:rPr>
          <w:rFonts w:hint="eastAsia" w:ascii="宋体" w:hAnsi="宋体"/>
          <w:b/>
          <w:szCs w:val="21"/>
        </w:rPr>
        <w:t>季度人力资源市场运行状况和特点</w:t>
      </w:r>
    </w:p>
    <w:p>
      <w:pPr>
        <w:adjustRightInd w:val="0"/>
        <w:snapToGrid w:val="0"/>
        <w:spacing w:line="360" w:lineRule="auto"/>
        <w:ind w:firstLine="420"/>
        <w:jc w:val="left"/>
        <w:rPr>
          <w:rFonts w:hint="eastAsia" w:ascii="宋体" w:hAnsi="宋体"/>
          <w:szCs w:val="21"/>
          <w:lang w:eastAsia="zh-CN"/>
        </w:rPr>
      </w:pPr>
      <w:r>
        <w:rPr>
          <w:rFonts w:hint="eastAsia" w:ascii="宋体" w:hAnsi="宋体"/>
          <w:szCs w:val="21"/>
        </w:rPr>
        <w:t>1、本季度需求数为</w:t>
      </w:r>
      <w:r>
        <w:rPr>
          <w:rFonts w:hint="eastAsia" w:ascii="宋体" w:hAnsi="宋体"/>
          <w:szCs w:val="21"/>
          <w:lang w:val="en-US" w:eastAsia="zh-CN"/>
        </w:rPr>
        <w:t>49275</w:t>
      </w:r>
      <w:r>
        <w:rPr>
          <w:rFonts w:hint="eastAsia" w:ascii="宋体" w:hAnsi="宋体"/>
          <w:szCs w:val="21"/>
        </w:rPr>
        <w:t>人，求职数为</w:t>
      </w:r>
      <w:r>
        <w:rPr>
          <w:rFonts w:hint="eastAsia" w:ascii="宋体" w:hAnsi="宋体"/>
          <w:szCs w:val="21"/>
          <w:lang w:val="en-US" w:eastAsia="zh-CN"/>
        </w:rPr>
        <w:t>38846</w:t>
      </w:r>
      <w:r>
        <w:rPr>
          <w:rFonts w:hint="eastAsia" w:ascii="宋体" w:hAnsi="宋体"/>
          <w:szCs w:val="21"/>
        </w:rPr>
        <w:t>人，求人倍率为1.2</w:t>
      </w:r>
      <w:r>
        <w:rPr>
          <w:rFonts w:hint="eastAsia" w:ascii="宋体" w:hAnsi="宋体"/>
          <w:szCs w:val="21"/>
          <w:lang w:val="en-US" w:eastAsia="zh-CN"/>
        </w:rPr>
        <w:t>7</w:t>
      </w:r>
      <w:r>
        <w:rPr>
          <w:rFonts w:hint="eastAsia" w:ascii="宋体" w:hAnsi="宋体"/>
          <w:szCs w:val="21"/>
        </w:rPr>
        <w:t>。</w:t>
      </w:r>
      <w:r>
        <w:rPr>
          <w:rFonts w:hint="eastAsia" w:ascii="宋体" w:hAnsi="宋体"/>
          <w:szCs w:val="21"/>
          <w:lang w:eastAsia="zh-CN"/>
        </w:rPr>
        <w:t>一季度企业招聘需求人数同比增长</w:t>
      </w:r>
      <w:r>
        <w:rPr>
          <w:rFonts w:hint="eastAsia" w:ascii="宋体" w:hAnsi="宋体"/>
          <w:szCs w:val="21"/>
          <w:lang w:val="en-US" w:eastAsia="zh-CN"/>
        </w:rPr>
        <w:t>16</w:t>
      </w:r>
      <w:r>
        <w:rPr>
          <w:rFonts w:hint="eastAsia" w:ascii="宋体" w:hAnsi="宋体"/>
          <w:szCs w:val="21"/>
          <w:lang w:eastAsia="zh-CN"/>
        </w:rPr>
        <w:t>%，企业用工需求增长强劲。但节后新冠疫情多地散发，因疫情防控，外地人员来港、新人招聘面试、入职体检都受到了不同程度的影响，企业反映一线操作工缺口还比较大。</w:t>
      </w:r>
    </w:p>
    <w:p>
      <w:pPr>
        <w:adjustRightInd w:val="0"/>
        <w:snapToGrid w:val="0"/>
        <w:spacing w:line="360" w:lineRule="auto"/>
        <w:ind w:firstLine="420"/>
        <w:jc w:val="left"/>
        <w:rPr>
          <w:rFonts w:ascii="宋体" w:hAnsi="宋体"/>
          <w:szCs w:val="21"/>
        </w:rPr>
      </w:pPr>
      <w:r>
        <w:rPr>
          <w:rFonts w:hint="eastAsia" w:ascii="宋体" w:hAnsi="宋体"/>
          <w:szCs w:val="21"/>
        </w:rPr>
        <w:t>2、</w:t>
      </w:r>
      <w:r>
        <w:rPr>
          <w:rFonts w:hint="eastAsia" w:ascii="宋体" w:hAnsi="宋体"/>
          <w:szCs w:val="21"/>
          <w:lang w:eastAsia="zh-CN"/>
        </w:rPr>
        <w:t>因今年新冠疫情影响，</w:t>
      </w:r>
      <w:r>
        <w:rPr>
          <w:rFonts w:hint="eastAsia" w:ascii="宋体" w:hAnsi="宋体"/>
          <w:szCs w:val="21"/>
        </w:rPr>
        <w:t>1-</w:t>
      </w:r>
      <w:r>
        <w:rPr>
          <w:rFonts w:hint="eastAsia" w:ascii="宋体" w:hAnsi="宋体"/>
          <w:szCs w:val="21"/>
          <w:lang w:val="en-US" w:eastAsia="zh-CN"/>
        </w:rPr>
        <w:t>3</w:t>
      </w:r>
      <w:r>
        <w:rPr>
          <w:rFonts w:hint="eastAsia" w:ascii="宋体" w:hAnsi="宋体"/>
          <w:szCs w:val="21"/>
        </w:rPr>
        <w:t>月的求人倍率</w:t>
      </w:r>
      <w:r>
        <w:rPr>
          <w:rFonts w:hint="eastAsia" w:ascii="宋体" w:hAnsi="宋体"/>
          <w:szCs w:val="21"/>
          <w:lang w:eastAsia="zh-CN"/>
        </w:rPr>
        <w:t>较去年同期略增</w:t>
      </w:r>
      <w:r>
        <w:rPr>
          <w:rFonts w:hint="eastAsia" w:ascii="宋体" w:hAnsi="宋体"/>
          <w:szCs w:val="21"/>
        </w:rPr>
        <w:t>。</w:t>
      </w:r>
    </w:p>
    <w:tbl>
      <w:tblPr>
        <w:tblStyle w:val="6"/>
        <w:tblpPr w:leftFromText="180" w:rightFromText="180" w:vertAnchor="text" w:horzAnchor="page" w:tblpX="1950" w:tblpY="321"/>
        <w:tblOverlap w:val="never"/>
        <w:tblW w:w="83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8"/>
        <w:gridCol w:w="1845"/>
        <w:gridCol w:w="2191"/>
        <w:gridCol w:w="2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298" w:type="dxa"/>
            <w:vAlign w:val="center"/>
          </w:tcPr>
          <w:p>
            <w:pPr>
              <w:adjustRightInd w:val="0"/>
              <w:snapToGrid w:val="0"/>
              <w:spacing w:line="360" w:lineRule="auto"/>
              <w:ind w:right="-288" w:rightChars="-137"/>
              <w:jc w:val="center"/>
              <w:rPr>
                <w:rFonts w:hint="eastAsia" w:ascii="宋体" w:hAnsi="宋体" w:eastAsia="宋体"/>
                <w:szCs w:val="21"/>
                <w:lang w:eastAsia="zh-CN"/>
              </w:rPr>
            </w:pPr>
            <w:r>
              <w:rPr>
                <w:rFonts w:hint="eastAsia" w:ascii="宋体" w:hAnsi="宋体"/>
                <w:szCs w:val="21"/>
                <w:lang w:eastAsia="zh-CN"/>
              </w:rPr>
              <w:t>时</w:t>
            </w:r>
            <w:r>
              <w:rPr>
                <w:rFonts w:hint="eastAsia" w:ascii="宋体" w:hAnsi="宋体"/>
                <w:szCs w:val="21"/>
                <w:lang w:val="en-US" w:eastAsia="zh-CN"/>
              </w:rPr>
              <w:t xml:space="preserve">  </w:t>
            </w:r>
            <w:r>
              <w:rPr>
                <w:rFonts w:hint="eastAsia" w:ascii="宋体" w:hAnsi="宋体"/>
                <w:szCs w:val="21"/>
                <w:lang w:eastAsia="zh-CN"/>
              </w:rPr>
              <w:t>间</w:t>
            </w:r>
          </w:p>
        </w:tc>
        <w:tc>
          <w:tcPr>
            <w:tcW w:w="1845" w:type="dxa"/>
            <w:vAlign w:val="center"/>
          </w:tcPr>
          <w:p>
            <w:pPr>
              <w:adjustRightInd w:val="0"/>
              <w:snapToGrid w:val="0"/>
              <w:spacing w:line="360" w:lineRule="auto"/>
              <w:jc w:val="center"/>
              <w:rPr>
                <w:rFonts w:ascii="宋体" w:hAnsi="宋体"/>
                <w:szCs w:val="21"/>
              </w:rPr>
            </w:pPr>
            <w:r>
              <w:rPr>
                <w:rFonts w:hint="eastAsia" w:ascii="宋体" w:hAnsi="宋体"/>
                <w:szCs w:val="21"/>
              </w:rPr>
              <w:t>一月</w:t>
            </w:r>
          </w:p>
        </w:tc>
        <w:tc>
          <w:tcPr>
            <w:tcW w:w="2191" w:type="dxa"/>
            <w:vAlign w:val="center"/>
          </w:tcPr>
          <w:p>
            <w:pPr>
              <w:adjustRightInd w:val="0"/>
              <w:snapToGrid w:val="0"/>
              <w:spacing w:line="360" w:lineRule="auto"/>
              <w:jc w:val="center"/>
              <w:rPr>
                <w:rFonts w:ascii="宋体" w:hAnsi="宋体"/>
                <w:szCs w:val="21"/>
              </w:rPr>
            </w:pPr>
            <w:r>
              <w:rPr>
                <w:rFonts w:hint="eastAsia" w:ascii="宋体" w:hAnsi="宋体"/>
                <w:szCs w:val="21"/>
              </w:rPr>
              <w:t>二月</w:t>
            </w:r>
          </w:p>
        </w:tc>
        <w:tc>
          <w:tcPr>
            <w:tcW w:w="2043" w:type="dxa"/>
            <w:vAlign w:val="center"/>
          </w:tcPr>
          <w:p>
            <w:pPr>
              <w:adjustRightInd w:val="0"/>
              <w:snapToGrid w:val="0"/>
              <w:spacing w:line="360" w:lineRule="auto"/>
              <w:jc w:val="center"/>
              <w:rPr>
                <w:rFonts w:ascii="宋体" w:hAnsi="宋体"/>
                <w:szCs w:val="21"/>
              </w:rPr>
            </w:pPr>
            <w:r>
              <w:rPr>
                <w:rFonts w:hint="eastAsia" w:ascii="宋体" w:hAnsi="宋体"/>
                <w:szCs w:val="21"/>
              </w:rPr>
              <w:t>三月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298" w:type="dxa"/>
            <w:vAlign w:val="center"/>
          </w:tcPr>
          <w:p>
            <w:pPr>
              <w:adjustRightInd w:val="0"/>
              <w:snapToGrid w:val="0"/>
              <w:spacing w:line="360" w:lineRule="auto"/>
              <w:jc w:val="center"/>
              <w:rPr>
                <w:rFonts w:ascii="宋体" w:hAnsi="宋体"/>
                <w:szCs w:val="21"/>
              </w:rPr>
            </w:pPr>
            <w:r>
              <w:rPr>
                <w:rFonts w:hint="eastAsia" w:ascii="宋体" w:hAnsi="宋体"/>
                <w:szCs w:val="21"/>
                <w:lang w:val="en-US" w:eastAsia="zh-CN"/>
              </w:rPr>
              <w:t>2021年</w:t>
            </w:r>
            <w:r>
              <w:rPr>
                <w:rFonts w:hint="eastAsia" w:ascii="宋体" w:hAnsi="宋体"/>
                <w:szCs w:val="21"/>
              </w:rPr>
              <w:t>求人倍率</w:t>
            </w:r>
          </w:p>
        </w:tc>
        <w:tc>
          <w:tcPr>
            <w:tcW w:w="1845" w:type="dxa"/>
            <w:vAlign w:val="center"/>
          </w:tcPr>
          <w:p>
            <w:pPr>
              <w:adjustRightInd w:val="0"/>
              <w:snapToGrid w:val="0"/>
              <w:spacing w:line="360" w:lineRule="auto"/>
              <w:jc w:val="center"/>
              <w:rPr>
                <w:rFonts w:ascii="宋体" w:hAnsi="宋体"/>
                <w:szCs w:val="21"/>
              </w:rPr>
            </w:pPr>
            <w:r>
              <w:rPr>
                <w:rFonts w:hint="eastAsia" w:ascii="宋体" w:hAnsi="宋体"/>
                <w:szCs w:val="21"/>
              </w:rPr>
              <w:t>1.27</w:t>
            </w:r>
          </w:p>
        </w:tc>
        <w:tc>
          <w:tcPr>
            <w:tcW w:w="2191" w:type="dxa"/>
            <w:vAlign w:val="center"/>
          </w:tcPr>
          <w:p>
            <w:pPr>
              <w:adjustRightInd w:val="0"/>
              <w:snapToGrid w:val="0"/>
              <w:spacing w:line="360" w:lineRule="auto"/>
              <w:jc w:val="center"/>
              <w:rPr>
                <w:rFonts w:ascii="宋体" w:hAnsi="宋体"/>
                <w:szCs w:val="21"/>
              </w:rPr>
            </w:pPr>
            <w:r>
              <w:rPr>
                <w:rFonts w:ascii="宋体" w:hAnsi="宋体"/>
                <w:szCs w:val="21"/>
              </w:rPr>
              <w:t>1.25</w:t>
            </w:r>
          </w:p>
        </w:tc>
        <w:tc>
          <w:tcPr>
            <w:tcW w:w="2043" w:type="dxa"/>
            <w:vAlign w:val="center"/>
          </w:tcPr>
          <w:p>
            <w:pPr>
              <w:adjustRightInd w:val="0"/>
              <w:snapToGrid w:val="0"/>
              <w:spacing w:line="360" w:lineRule="auto"/>
              <w:jc w:val="center"/>
              <w:rPr>
                <w:rFonts w:ascii="宋体" w:hAnsi="宋体"/>
                <w:szCs w:val="21"/>
              </w:rPr>
            </w:pPr>
            <w:r>
              <w:rPr>
                <w:rFonts w:ascii="宋体" w:hAnsi="宋体"/>
                <w:szCs w:val="21"/>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298" w:type="dxa"/>
            <w:vAlign w:val="center"/>
          </w:tcPr>
          <w:p>
            <w:pPr>
              <w:adjustRightInd w:val="0"/>
              <w:snapToGrid w:val="0"/>
              <w:spacing w:line="360" w:lineRule="auto"/>
              <w:jc w:val="center"/>
              <w:rPr>
                <w:rFonts w:hint="default" w:ascii="宋体" w:hAnsi="宋体" w:eastAsia="宋体"/>
                <w:szCs w:val="21"/>
                <w:lang w:val="en-US" w:eastAsia="zh-CN"/>
              </w:rPr>
            </w:pPr>
            <w:r>
              <w:rPr>
                <w:rFonts w:hint="eastAsia" w:ascii="宋体" w:hAnsi="宋体"/>
                <w:szCs w:val="21"/>
                <w:lang w:val="en-US" w:eastAsia="zh-CN"/>
              </w:rPr>
              <w:t>2022年求人倍率</w:t>
            </w:r>
          </w:p>
        </w:tc>
        <w:tc>
          <w:tcPr>
            <w:tcW w:w="1845" w:type="dxa"/>
            <w:vAlign w:val="center"/>
          </w:tcPr>
          <w:p>
            <w:pPr>
              <w:adjustRightInd w:val="0"/>
              <w:snapToGrid w:val="0"/>
              <w:spacing w:line="360" w:lineRule="auto"/>
              <w:jc w:val="center"/>
              <w:rPr>
                <w:rFonts w:hint="default" w:ascii="宋体" w:hAnsi="宋体" w:eastAsia="宋体"/>
                <w:szCs w:val="21"/>
                <w:lang w:val="en-US" w:eastAsia="zh-CN"/>
              </w:rPr>
            </w:pPr>
            <w:r>
              <w:rPr>
                <w:rFonts w:hint="eastAsia" w:ascii="宋体" w:hAnsi="宋体"/>
                <w:szCs w:val="21"/>
                <w:lang w:val="en-US" w:eastAsia="zh-CN"/>
              </w:rPr>
              <w:t>1.28</w:t>
            </w:r>
          </w:p>
        </w:tc>
        <w:tc>
          <w:tcPr>
            <w:tcW w:w="2191" w:type="dxa"/>
            <w:vAlign w:val="center"/>
          </w:tcPr>
          <w:p>
            <w:pPr>
              <w:adjustRightInd w:val="0"/>
              <w:snapToGrid w:val="0"/>
              <w:spacing w:line="360" w:lineRule="auto"/>
              <w:jc w:val="center"/>
              <w:rPr>
                <w:rFonts w:hint="default" w:ascii="宋体" w:hAnsi="宋体" w:eastAsia="宋体"/>
                <w:szCs w:val="21"/>
                <w:lang w:val="en-US" w:eastAsia="zh-CN"/>
              </w:rPr>
            </w:pPr>
            <w:r>
              <w:rPr>
                <w:rFonts w:hint="eastAsia" w:ascii="宋体" w:hAnsi="宋体"/>
                <w:szCs w:val="21"/>
                <w:lang w:val="en-US" w:eastAsia="zh-CN"/>
              </w:rPr>
              <w:t>1.28</w:t>
            </w:r>
          </w:p>
        </w:tc>
        <w:tc>
          <w:tcPr>
            <w:tcW w:w="2043" w:type="dxa"/>
            <w:vAlign w:val="center"/>
          </w:tcPr>
          <w:p>
            <w:pPr>
              <w:adjustRightInd w:val="0"/>
              <w:snapToGrid w:val="0"/>
              <w:spacing w:line="360" w:lineRule="auto"/>
              <w:jc w:val="center"/>
              <w:rPr>
                <w:rFonts w:hint="default" w:ascii="宋体" w:hAnsi="宋体" w:eastAsia="宋体"/>
                <w:szCs w:val="21"/>
                <w:lang w:val="en-US" w:eastAsia="zh-CN"/>
              </w:rPr>
            </w:pPr>
            <w:r>
              <w:rPr>
                <w:rFonts w:hint="eastAsia" w:ascii="宋体" w:hAnsi="宋体"/>
                <w:szCs w:val="21"/>
                <w:lang w:val="en-US" w:eastAsia="zh-CN"/>
              </w:rPr>
              <w:t>1.27</w:t>
            </w:r>
          </w:p>
        </w:tc>
      </w:tr>
    </w:tbl>
    <w:p>
      <w:pPr>
        <w:adjustRightInd w:val="0"/>
        <w:snapToGrid w:val="0"/>
        <w:spacing w:line="360" w:lineRule="auto"/>
        <w:ind w:firstLine="420"/>
        <w:jc w:val="left"/>
        <w:rPr>
          <w:rFonts w:ascii="宋体" w:hAnsi="宋体"/>
          <w:szCs w:val="21"/>
        </w:rPr>
      </w:pPr>
    </w:p>
    <w:p>
      <w:pPr>
        <w:adjustRightInd w:val="0"/>
        <w:snapToGrid w:val="0"/>
        <w:spacing w:line="360" w:lineRule="auto"/>
        <w:ind w:firstLine="420"/>
        <w:jc w:val="left"/>
        <w:rPr>
          <w:rFonts w:hint="eastAsia" w:ascii="宋体" w:hAnsi="宋体" w:eastAsia="宋体"/>
          <w:szCs w:val="21"/>
          <w:lang w:eastAsia="zh-CN"/>
        </w:rPr>
      </w:pPr>
      <w:r>
        <w:rPr>
          <w:rFonts w:hint="eastAsia" w:ascii="宋体" w:hAnsi="宋体" w:eastAsia="宋体"/>
          <w:szCs w:val="21"/>
          <w:lang w:eastAsia="zh-CN"/>
        </w:rPr>
        <w:drawing>
          <wp:inline distT="0" distB="0" distL="114300" distR="114300">
            <wp:extent cx="4947285" cy="2324735"/>
            <wp:effectExtent l="4445" t="4445" r="20320" b="1397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pPr>
        <w:adjustRightInd w:val="0"/>
        <w:snapToGrid w:val="0"/>
        <w:spacing w:line="360" w:lineRule="auto"/>
        <w:ind w:firstLine="420"/>
        <w:jc w:val="left"/>
        <w:rPr>
          <w:rFonts w:hint="eastAsia" w:ascii="宋体" w:hAnsi="宋体"/>
          <w:szCs w:val="21"/>
          <w:lang w:val="en-US" w:eastAsia="zh-CN"/>
        </w:rPr>
      </w:pPr>
      <w:r>
        <w:rPr>
          <w:rFonts w:hint="eastAsia" w:ascii="宋体" w:hAnsi="宋体"/>
          <w:szCs w:val="21"/>
          <w:lang w:val="en-US" w:eastAsia="zh-CN"/>
        </w:rPr>
        <w:t>3、疫情影响，招聘、面试、入职体检受阻。因疫情外地人员无法正常抵港对企业招聘造成较大的影响，部分企业不能及时开展校招，没有机会和同学直接接触、面试不能现场进行，同学缺乏对本地及公司环境更深刻的认识，澳洋医院、信义玻璃、那智不二越、PPG涂料等企业一致反映因疫情影响体检暂停，对新员工入职影响较大；</w:t>
      </w:r>
    </w:p>
    <w:p>
      <w:pPr>
        <w:adjustRightInd w:val="0"/>
        <w:snapToGrid w:val="0"/>
        <w:spacing w:line="360" w:lineRule="auto"/>
        <w:ind w:firstLine="420"/>
        <w:jc w:val="left"/>
        <w:rPr>
          <w:rFonts w:hint="eastAsia" w:ascii="宋体" w:hAnsi="宋体"/>
          <w:szCs w:val="21"/>
          <w:lang w:val="en-US" w:eastAsia="zh-CN"/>
        </w:rPr>
      </w:pPr>
      <w:r>
        <w:rPr>
          <w:rFonts w:hint="eastAsia" w:ascii="宋体" w:hAnsi="宋体"/>
          <w:szCs w:val="21"/>
          <w:lang w:val="en-US" w:eastAsia="zh-CN"/>
        </w:rPr>
        <w:t>4、一线工人不稳定，招聘难，缺口大。一线普工招聘困难，人员流动大，稳定性差，很多企业反映普工缺口较大，海陆重工反映熟练技术工人比较难招；</w:t>
      </w:r>
    </w:p>
    <w:p>
      <w:pPr>
        <w:adjustRightInd w:val="0"/>
        <w:snapToGrid w:val="0"/>
        <w:spacing w:line="360" w:lineRule="auto"/>
        <w:ind w:firstLine="420"/>
        <w:jc w:val="left"/>
        <w:rPr>
          <w:rFonts w:hint="eastAsia" w:ascii="宋体" w:hAnsi="宋体"/>
          <w:szCs w:val="21"/>
          <w:lang w:val="en-US" w:eastAsia="zh-CN"/>
        </w:rPr>
      </w:pPr>
      <w:r>
        <w:rPr>
          <w:rFonts w:hint="eastAsia" w:ascii="宋体" w:hAnsi="宋体"/>
          <w:szCs w:val="21"/>
          <w:lang w:val="en-US" w:eastAsia="zh-CN"/>
        </w:rPr>
        <w:t>5、劳动者的就业意愿与企业需求矛盾突出。年轻人普遍不愿意到一线，而年纪偏大的因学习能力接受能力有限只能做点手工活，不太适合操作自动化设备；而且愿意倒班的技术工如机加工、模具修护等太少。</w:t>
      </w:r>
    </w:p>
    <w:p>
      <w:pPr>
        <w:adjustRightInd w:val="0"/>
        <w:snapToGrid w:val="0"/>
        <w:spacing w:line="360" w:lineRule="auto"/>
        <w:ind w:firstLine="420"/>
        <w:jc w:val="left"/>
        <w:rPr>
          <w:rFonts w:ascii="宋体" w:hAnsi="宋体"/>
          <w:szCs w:val="21"/>
        </w:rPr>
      </w:pPr>
    </w:p>
    <w:p>
      <w:pPr>
        <w:pStyle w:val="18"/>
        <w:numPr>
          <w:ilvl w:val="0"/>
          <w:numId w:val="1"/>
        </w:numPr>
        <w:spacing w:line="360" w:lineRule="auto"/>
        <w:ind w:firstLineChars="0"/>
        <w:rPr>
          <w:rFonts w:ascii="宋体" w:hAnsi="宋体"/>
          <w:b/>
          <w:szCs w:val="21"/>
        </w:rPr>
      </w:pPr>
      <w:r>
        <w:rPr>
          <w:rFonts w:hint="eastAsia" w:ascii="宋体" w:hAnsi="宋体"/>
          <w:b/>
          <w:szCs w:val="21"/>
        </w:rPr>
        <w:t>针对以上情况，我市采取了积极的应对措施：</w:t>
      </w:r>
    </w:p>
    <w:p>
      <w:pPr>
        <w:adjustRightInd w:val="0"/>
        <w:snapToGrid w:val="0"/>
        <w:spacing w:line="520" w:lineRule="exact"/>
        <w:ind w:firstLine="420" w:firstLineChars="200"/>
        <w:jc w:val="left"/>
        <w:rPr>
          <w:rFonts w:hint="eastAsia" w:ascii="宋体" w:hAnsi="宋体"/>
          <w:szCs w:val="21"/>
        </w:rPr>
      </w:pPr>
      <w:r>
        <w:rPr>
          <w:rFonts w:hint="eastAsia" w:ascii="宋体" w:hAnsi="宋体"/>
          <w:szCs w:val="21"/>
          <w:lang w:val="en-US" w:eastAsia="zh-CN"/>
        </w:rPr>
        <w:t>1</w:t>
      </w:r>
      <w:r>
        <w:rPr>
          <w:rFonts w:hint="eastAsia" w:ascii="宋体" w:hAnsi="宋体"/>
          <w:szCs w:val="21"/>
        </w:rPr>
        <w:t xml:space="preserve"> </w:t>
      </w:r>
      <w:r>
        <w:rPr>
          <w:rFonts w:hint="eastAsia" w:ascii="宋体" w:hAnsi="宋体"/>
          <w:szCs w:val="21"/>
          <w:lang w:eastAsia="zh-CN"/>
        </w:rPr>
        <w:t>、</w:t>
      </w:r>
      <w:r>
        <w:rPr>
          <w:rFonts w:hint="eastAsia" w:ascii="宋体" w:hAnsi="宋体"/>
          <w:b/>
          <w:bCs/>
          <w:szCs w:val="21"/>
        </w:rPr>
        <w:t>拓展渠道，加强网络招聘力度</w:t>
      </w:r>
      <w:r>
        <w:rPr>
          <w:rFonts w:hint="eastAsia" w:ascii="宋体" w:hAnsi="宋体"/>
          <w:szCs w:val="21"/>
        </w:rPr>
        <w:t>。举办张家港市2022年春季大型网络招聘会，199家企业提供招聘岗位8440个，达成就业意向804人。举办2022春季高校毕业生网络就业双选会，72家企业提供就业岗位1071个，达成就业意向287人。与国内知名平台“校友邦”联合开展2022张家港市智能制造校园引才网络双选会，发布招聘岗位3233个。通过直播荐岗、短视频招聘等方式为企业提供多样化招聘服务，为有用工需求的用人单位搭建在线精准化对接平台。</w:t>
      </w:r>
    </w:p>
    <w:p>
      <w:pPr>
        <w:numPr>
          <w:ilvl w:val="0"/>
          <w:numId w:val="2"/>
        </w:numPr>
        <w:adjustRightInd w:val="0"/>
        <w:snapToGrid w:val="0"/>
        <w:spacing w:line="520" w:lineRule="exact"/>
        <w:ind w:firstLine="422" w:firstLineChars="200"/>
        <w:jc w:val="left"/>
        <w:rPr>
          <w:rFonts w:hint="eastAsia" w:ascii="宋体" w:hAnsi="宋体"/>
          <w:szCs w:val="21"/>
        </w:rPr>
      </w:pPr>
      <w:r>
        <w:rPr>
          <w:rFonts w:hint="eastAsia" w:ascii="宋体" w:hAnsi="宋体"/>
          <w:b/>
          <w:bCs/>
          <w:szCs w:val="21"/>
        </w:rPr>
        <w:t>共联共建，扩大人力资源“朋友圈”</w:t>
      </w:r>
      <w:r>
        <w:rPr>
          <w:rFonts w:hint="eastAsia" w:ascii="宋体" w:hAnsi="宋体"/>
          <w:szCs w:val="21"/>
        </w:rPr>
        <w:t>。2月6日至9日，组织25家我市优质用工企业携2500个就业岗位赴贵州沿河举办“两江水·一家亲”2022年春季张家港·沿河专场招聘会，现场达成务工意向580多人次，签订就业协议360份，通过“互联网+”、短信平台等多种方式，点对点向沿河23个乡镇（街道）、420多个村（社区）推送5200多个岗位，真正实现了系统、精准、常态化的新型劳务协作机制。（因受疫情影响，达成就业意向的人员暂时没有过来，待条件允许后将第一时间组织包车统一接到我市。）引导企业与职业院校加强校企合作，目前正在组织重庆合川技工学校 500名计算机、机电等专业学生来我市进行为期5个月的实习。此外，与安徽阜阳、湖北孝感、甘肃天水和陕西安康等劳务合作基地加强联系，提前谋划，持续做好与他们的联动发展战略。</w:t>
      </w:r>
    </w:p>
    <w:p>
      <w:pPr>
        <w:numPr>
          <w:ilvl w:val="0"/>
          <w:numId w:val="2"/>
        </w:numPr>
        <w:adjustRightInd w:val="0"/>
        <w:snapToGrid w:val="0"/>
        <w:spacing w:line="520" w:lineRule="exact"/>
        <w:ind w:firstLine="422" w:firstLineChars="200"/>
        <w:jc w:val="left"/>
        <w:rPr>
          <w:rFonts w:hint="eastAsia" w:ascii="宋体" w:hAnsi="宋体"/>
          <w:szCs w:val="21"/>
        </w:rPr>
      </w:pPr>
      <w:r>
        <w:rPr>
          <w:rFonts w:hint="eastAsia" w:ascii="宋体" w:hAnsi="宋体"/>
          <w:b/>
          <w:bCs/>
          <w:szCs w:val="21"/>
        </w:rPr>
        <w:t>进一步降低企业引人成本</w:t>
      </w:r>
      <w:r>
        <w:rPr>
          <w:rFonts w:hint="eastAsia" w:ascii="宋体" w:hAnsi="宋体"/>
          <w:szCs w:val="21"/>
          <w:lang w:eastAsia="zh-CN"/>
        </w:rPr>
        <w:t>。</w:t>
      </w:r>
      <w:r>
        <w:rPr>
          <w:rFonts w:hint="eastAsia" w:ascii="宋体" w:hAnsi="宋体"/>
          <w:szCs w:val="21"/>
        </w:rPr>
        <w:t>1月17日，市政府办公室下发了《关于进一步做好春节期间稳岗惠企工作的十条措施》（张政办〔2022〕4号），对激励企业加大留人引人力度、强化人力资源供给保障出台了相关措施，但各项措施仅限于1至2月，考虑到目前疫情防控的形势和企业用人需求是一个动态持续的过程，有企业提出是否可以适当延长吸纳首次来港就业人员的来港就业补贴执行期限。其次，有人力资源服务机构提出是否可以考虑把有组织开展劳动力供给的交通补贴推动成为常态化的补贴措施，从而通过政府负担小部分、企业承担大部分的形式在降低企业引人成本的同时，进一步激发第三方人力资源服务机构参与我市用工服务的热情。</w:t>
      </w:r>
    </w:p>
    <w:p>
      <w:pPr>
        <w:numPr>
          <w:ilvl w:val="0"/>
          <w:numId w:val="0"/>
        </w:numPr>
        <w:adjustRightInd w:val="0"/>
        <w:snapToGrid w:val="0"/>
        <w:spacing w:line="520" w:lineRule="exact"/>
        <w:jc w:val="left"/>
        <w:rPr>
          <w:rFonts w:hint="eastAsia" w:ascii="宋体" w:hAnsi="宋体"/>
          <w:szCs w:val="21"/>
        </w:rPr>
      </w:pPr>
    </w:p>
    <w:p>
      <w:pPr>
        <w:adjustRightInd w:val="0"/>
        <w:snapToGrid w:val="0"/>
        <w:spacing w:line="520" w:lineRule="exact"/>
        <w:ind w:firstLine="420" w:firstLineChars="200"/>
        <w:jc w:val="left"/>
        <w:rPr>
          <w:rFonts w:hint="eastAsia" w:ascii="宋体" w:hAnsi="宋体" w:eastAsia="宋体"/>
          <w:szCs w:val="21"/>
          <w:lang w:val="en-US" w:eastAsia="zh-CN"/>
        </w:rPr>
      </w:pPr>
    </w:p>
    <w:p>
      <w:pPr>
        <w:spacing w:line="360" w:lineRule="auto"/>
        <w:ind w:firstLine="420" w:firstLineChars="200"/>
        <w:rPr>
          <w:rFonts w:ascii="宋体" w:hAnsi="宋体"/>
          <w:szCs w:val="21"/>
        </w:rPr>
      </w:pPr>
    </w:p>
    <w:p>
      <w:pPr>
        <w:adjustRightInd w:val="0"/>
        <w:snapToGrid w:val="0"/>
        <w:spacing w:line="360" w:lineRule="auto"/>
        <w:jc w:val="left"/>
        <w:rPr>
          <w:color w:val="FF000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A21554"/>
    <w:multiLevelType w:val="multilevel"/>
    <w:tmpl w:val="5BA21554"/>
    <w:lvl w:ilvl="0" w:tentative="0">
      <w:start w:val="2"/>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D3266E6"/>
    <w:multiLevelType w:val="singleLevel"/>
    <w:tmpl w:val="6D3266E6"/>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5B7"/>
    <w:rsid w:val="00006087"/>
    <w:rsid w:val="00012187"/>
    <w:rsid w:val="00016DE2"/>
    <w:rsid w:val="000227BC"/>
    <w:rsid w:val="0003728A"/>
    <w:rsid w:val="00043478"/>
    <w:rsid w:val="0004598D"/>
    <w:rsid w:val="000478D2"/>
    <w:rsid w:val="00050931"/>
    <w:rsid w:val="00050C5E"/>
    <w:rsid w:val="000567AE"/>
    <w:rsid w:val="000630B7"/>
    <w:rsid w:val="000664E1"/>
    <w:rsid w:val="00066803"/>
    <w:rsid w:val="000668D0"/>
    <w:rsid w:val="00066E64"/>
    <w:rsid w:val="000678B7"/>
    <w:rsid w:val="00072F3E"/>
    <w:rsid w:val="00073D32"/>
    <w:rsid w:val="000822DD"/>
    <w:rsid w:val="0008306D"/>
    <w:rsid w:val="00083974"/>
    <w:rsid w:val="00084B52"/>
    <w:rsid w:val="000A071E"/>
    <w:rsid w:val="000A7056"/>
    <w:rsid w:val="000B13B0"/>
    <w:rsid w:val="000B2CD7"/>
    <w:rsid w:val="000B4C20"/>
    <w:rsid w:val="000C5A43"/>
    <w:rsid w:val="000E0C58"/>
    <w:rsid w:val="000E3DFC"/>
    <w:rsid w:val="000F69C1"/>
    <w:rsid w:val="00111C0D"/>
    <w:rsid w:val="001147B4"/>
    <w:rsid w:val="00117B68"/>
    <w:rsid w:val="00125ACA"/>
    <w:rsid w:val="00125D19"/>
    <w:rsid w:val="001262CA"/>
    <w:rsid w:val="00140ECF"/>
    <w:rsid w:val="00142CEF"/>
    <w:rsid w:val="00147C96"/>
    <w:rsid w:val="00151CFC"/>
    <w:rsid w:val="001524CF"/>
    <w:rsid w:val="00154FC5"/>
    <w:rsid w:val="001601F0"/>
    <w:rsid w:val="001606F9"/>
    <w:rsid w:val="001700DA"/>
    <w:rsid w:val="00171ED5"/>
    <w:rsid w:val="00181C29"/>
    <w:rsid w:val="00181D8A"/>
    <w:rsid w:val="0018525A"/>
    <w:rsid w:val="001854EE"/>
    <w:rsid w:val="00195ECF"/>
    <w:rsid w:val="001A32CA"/>
    <w:rsid w:val="001A470E"/>
    <w:rsid w:val="001A4952"/>
    <w:rsid w:val="001B037B"/>
    <w:rsid w:val="001B087F"/>
    <w:rsid w:val="001B09F5"/>
    <w:rsid w:val="001B2459"/>
    <w:rsid w:val="001B3FCA"/>
    <w:rsid w:val="001B5E81"/>
    <w:rsid w:val="001C08AC"/>
    <w:rsid w:val="001C1B7C"/>
    <w:rsid w:val="001C1C78"/>
    <w:rsid w:val="001C4DA6"/>
    <w:rsid w:val="001C7782"/>
    <w:rsid w:val="001D3AEB"/>
    <w:rsid w:val="001D7844"/>
    <w:rsid w:val="001E019F"/>
    <w:rsid w:val="001E5F63"/>
    <w:rsid w:val="001F0B2B"/>
    <w:rsid w:val="001F37F6"/>
    <w:rsid w:val="001F4BA4"/>
    <w:rsid w:val="001F6B9D"/>
    <w:rsid w:val="0021663D"/>
    <w:rsid w:val="00217FFB"/>
    <w:rsid w:val="002206CB"/>
    <w:rsid w:val="0022349D"/>
    <w:rsid w:val="00224984"/>
    <w:rsid w:val="00232995"/>
    <w:rsid w:val="002363AF"/>
    <w:rsid w:val="002413EA"/>
    <w:rsid w:val="00293056"/>
    <w:rsid w:val="00295BC4"/>
    <w:rsid w:val="0029610A"/>
    <w:rsid w:val="002A2CBC"/>
    <w:rsid w:val="002B0AC3"/>
    <w:rsid w:val="002B3B0B"/>
    <w:rsid w:val="002C0B62"/>
    <w:rsid w:val="002C2204"/>
    <w:rsid w:val="002C36BF"/>
    <w:rsid w:val="002C40BB"/>
    <w:rsid w:val="002D1471"/>
    <w:rsid w:val="002E1C26"/>
    <w:rsid w:val="002E1E4B"/>
    <w:rsid w:val="00300F79"/>
    <w:rsid w:val="003057FE"/>
    <w:rsid w:val="00305C97"/>
    <w:rsid w:val="00310D90"/>
    <w:rsid w:val="00316750"/>
    <w:rsid w:val="00316E33"/>
    <w:rsid w:val="00317FED"/>
    <w:rsid w:val="00334013"/>
    <w:rsid w:val="0034498D"/>
    <w:rsid w:val="00350CC5"/>
    <w:rsid w:val="003525CF"/>
    <w:rsid w:val="003602CB"/>
    <w:rsid w:val="00364886"/>
    <w:rsid w:val="00365C06"/>
    <w:rsid w:val="0037416C"/>
    <w:rsid w:val="0037682A"/>
    <w:rsid w:val="003862E5"/>
    <w:rsid w:val="00386B51"/>
    <w:rsid w:val="00396420"/>
    <w:rsid w:val="00396CE4"/>
    <w:rsid w:val="0039793E"/>
    <w:rsid w:val="003A1016"/>
    <w:rsid w:val="003A435D"/>
    <w:rsid w:val="003A63E3"/>
    <w:rsid w:val="003B0A1E"/>
    <w:rsid w:val="003B10A9"/>
    <w:rsid w:val="003B7B9C"/>
    <w:rsid w:val="003B7C59"/>
    <w:rsid w:val="003C3F32"/>
    <w:rsid w:val="003C70E4"/>
    <w:rsid w:val="003C7F36"/>
    <w:rsid w:val="003D4FF9"/>
    <w:rsid w:val="003E0FF4"/>
    <w:rsid w:val="003E344F"/>
    <w:rsid w:val="003E3E7C"/>
    <w:rsid w:val="003E5D81"/>
    <w:rsid w:val="003E5F19"/>
    <w:rsid w:val="003E6823"/>
    <w:rsid w:val="0041029E"/>
    <w:rsid w:val="00411CF6"/>
    <w:rsid w:val="004155AB"/>
    <w:rsid w:val="004157A4"/>
    <w:rsid w:val="00416CEF"/>
    <w:rsid w:val="004217C0"/>
    <w:rsid w:val="00426ABF"/>
    <w:rsid w:val="0043424C"/>
    <w:rsid w:val="00434793"/>
    <w:rsid w:val="00446431"/>
    <w:rsid w:val="0045156E"/>
    <w:rsid w:val="004552CE"/>
    <w:rsid w:val="00460EB2"/>
    <w:rsid w:val="00461C2F"/>
    <w:rsid w:val="0046297A"/>
    <w:rsid w:val="004649EF"/>
    <w:rsid w:val="004658E5"/>
    <w:rsid w:val="004662E8"/>
    <w:rsid w:val="004761E3"/>
    <w:rsid w:val="00480652"/>
    <w:rsid w:val="0048372A"/>
    <w:rsid w:val="00484C8D"/>
    <w:rsid w:val="0049356E"/>
    <w:rsid w:val="00493D66"/>
    <w:rsid w:val="004B1FD8"/>
    <w:rsid w:val="004B56D2"/>
    <w:rsid w:val="004B7DC0"/>
    <w:rsid w:val="004C072B"/>
    <w:rsid w:val="004D1B76"/>
    <w:rsid w:val="004D3213"/>
    <w:rsid w:val="004D3255"/>
    <w:rsid w:val="004D771F"/>
    <w:rsid w:val="004D788A"/>
    <w:rsid w:val="004F2CF2"/>
    <w:rsid w:val="004F6D79"/>
    <w:rsid w:val="00501423"/>
    <w:rsid w:val="00505926"/>
    <w:rsid w:val="0050671D"/>
    <w:rsid w:val="00510977"/>
    <w:rsid w:val="00515F88"/>
    <w:rsid w:val="00532483"/>
    <w:rsid w:val="005327E0"/>
    <w:rsid w:val="005347B2"/>
    <w:rsid w:val="005375F8"/>
    <w:rsid w:val="0053791D"/>
    <w:rsid w:val="00542820"/>
    <w:rsid w:val="0054726A"/>
    <w:rsid w:val="0055092A"/>
    <w:rsid w:val="00555DBF"/>
    <w:rsid w:val="005561FC"/>
    <w:rsid w:val="005602AE"/>
    <w:rsid w:val="00567E9E"/>
    <w:rsid w:val="00572984"/>
    <w:rsid w:val="00572F2E"/>
    <w:rsid w:val="00574251"/>
    <w:rsid w:val="00577FFC"/>
    <w:rsid w:val="005849DD"/>
    <w:rsid w:val="005A19C5"/>
    <w:rsid w:val="005A68C0"/>
    <w:rsid w:val="005B45EE"/>
    <w:rsid w:val="005B58BD"/>
    <w:rsid w:val="005B6CD4"/>
    <w:rsid w:val="005E0DE4"/>
    <w:rsid w:val="005E33BF"/>
    <w:rsid w:val="005E3AEE"/>
    <w:rsid w:val="005E68FC"/>
    <w:rsid w:val="005F03D4"/>
    <w:rsid w:val="005F3125"/>
    <w:rsid w:val="005F3491"/>
    <w:rsid w:val="00601A40"/>
    <w:rsid w:val="00615568"/>
    <w:rsid w:val="00624F33"/>
    <w:rsid w:val="006338B7"/>
    <w:rsid w:val="006345B3"/>
    <w:rsid w:val="00636F84"/>
    <w:rsid w:val="0063720E"/>
    <w:rsid w:val="006529F2"/>
    <w:rsid w:val="00655D80"/>
    <w:rsid w:val="00657BBE"/>
    <w:rsid w:val="00660CD2"/>
    <w:rsid w:val="00660FCC"/>
    <w:rsid w:val="0066256E"/>
    <w:rsid w:val="0066299E"/>
    <w:rsid w:val="00663532"/>
    <w:rsid w:val="0066534A"/>
    <w:rsid w:val="006732D8"/>
    <w:rsid w:val="0067391E"/>
    <w:rsid w:val="0068266E"/>
    <w:rsid w:val="00682C1A"/>
    <w:rsid w:val="00687CEA"/>
    <w:rsid w:val="006907AE"/>
    <w:rsid w:val="00690D78"/>
    <w:rsid w:val="006935F1"/>
    <w:rsid w:val="006A44D0"/>
    <w:rsid w:val="006C0526"/>
    <w:rsid w:val="006C6E58"/>
    <w:rsid w:val="006D1DA3"/>
    <w:rsid w:val="006D1E52"/>
    <w:rsid w:val="006D5FD7"/>
    <w:rsid w:val="006D64DF"/>
    <w:rsid w:val="006D66BF"/>
    <w:rsid w:val="006D69D6"/>
    <w:rsid w:val="006D7F24"/>
    <w:rsid w:val="006E58D8"/>
    <w:rsid w:val="006E7CE7"/>
    <w:rsid w:val="006F4C5A"/>
    <w:rsid w:val="007050CC"/>
    <w:rsid w:val="00707CBE"/>
    <w:rsid w:val="0071237C"/>
    <w:rsid w:val="00721CA6"/>
    <w:rsid w:val="007308D9"/>
    <w:rsid w:val="007337C5"/>
    <w:rsid w:val="00733888"/>
    <w:rsid w:val="007441F8"/>
    <w:rsid w:val="0075017F"/>
    <w:rsid w:val="00751689"/>
    <w:rsid w:val="007544E0"/>
    <w:rsid w:val="00754822"/>
    <w:rsid w:val="007626EE"/>
    <w:rsid w:val="00763B3C"/>
    <w:rsid w:val="00765DFE"/>
    <w:rsid w:val="00767F43"/>
    <w:rsid w:val="00771AA7"/>
    <w:rsid w:val="00773D0D"/>
    <w:rsid w:val="007817B4"/>
    <w:rsid w:val="00783799"/>
    <w:rsid w:val="00783EC3"/>
    <w:rsid w:val="007870FA"/>
    <w:rsid w:val="00787A20"/>
    <w:rsid w:val="0079257B"/>
    <w:rsid w:val="00792B27"/>
    <w:rsid w:val="00792C22"/>
    <w:rsid w:val="00793D18"/>
    <w:rsid w:val="00794105"/>
    <w:rsid w:val="00794DFF"/>
    <w:rsid w:val="007A04E1"/>
    <w:rsid w:val="007A08B1"/>
    <w:rsid w:val="007A45F5"/>
    <w:rsid w:val="007A5F3C"/>
    <w:rsid w:val="007C3858"/>
    <w:rsid w:val="007C5652"/>
    <w:rsid w:val="007C683E"/>
    <w:rsid w:val="007C6B7A"/>
    <w:rsid w:val="007D5489"/>
    <w:rsid w:val="007D7010"/>
    <w:rsid w:val="007D7D7C"/>
    <w:rsid w:val="007E3461"/>
    <w:rsid w:val="007E4857"/>
    <w:rsid w:val="007E6AD5"/>
    <w:rsid w:val="00800640"/>
    <w:rsid w:val="008020D2"/>
    <w:rsid w:val="00804439"/>
    <w:rsid w:val="00806020"/>
    <w:rsid w:val="00810D15"/>
    <w:rsid w:val="0081548D"/>
    <w:rsid w:val="00823807"/>
    <w:rsid w:val="00831DD2"/>
    <w:rsid w:val="00831EBD"/>
    <w:rsid w:val="00832721"/>
    <w:rsid w:val="00835DF9"/>
    <w:rsid w:val="008418E0"/>
    <w:rsid w:val="0084463E"/>
    <w:rsid w:val="00845C43"/>
    <w:rsid w:val="00847A0F"/>
    <w:rsid w:val="008531A0"/>
    <w:rsid w:val="00861A84"/>
    <w:rsid w:val="00862308"/>
    <w:rsid w:val="00862B90"/>
    <w:rsid w:val="00862E72"/>
    <w:rsid w:val="00875A1D"/>
    <w:rsid w:val="008834A3"/>
    <w:rsid w:val="00884504"/>
    <w:rsid w:val="00891677"/>
    <w:rsid w:val="008A03FC"/>
    <w:rsid w:val="008B47A0"/>
    <w:rsid w:val="008B6931"/>
    <w:rsid w:val="008C345D"/>
    <w:rsid w:val="008C3B2B"/>
    <w:rsid w:val="008D0951"/>
    <w:rsid w:val="008D21D4"/>
    <w:rsid w:val="008D2C4D"/>
    <w:rsid w:val="008D4AEF"/>
    <w:rsid w:val="008E060A"/>
    <w:rsid w:val="008E63F3"/>
    <w:rsid w:val="008E769A"/>
    <w:rsid w:val="008F070C"/>
    <w:rsid w:val="008F326D"/>
    <w:rsid w:val="008F4441"/>
    <w:rsid w:val="009050B8"/>
    <w:rsid w:val="00907D3D"/>
    <w:rsid w:val="00915D9F"/>
    <w:rsid w:val="0091798E"/>
    <w:rsid w:val="009213D5"/>
    <w:rsid w:val="00921E26"/>
    <w:rsid w:val="00925555"/>
    <w:rsid w:val="00925B07"/>
    <w:rsid w:val="009266E7"/>
    <w:rsid w:val="00931F21"/>
    <w:rsid w:val="009345E9"/>
    <w:rsid w:val="00935F12"/>
    <w:rsid w:val="00937F11"/>
    <w:rsid w:val="00946E5E"/>
    <w:rsid w:val="00953551"/>
    <w:rsid w:val="009544BB"/>
    <w:rsid w:val="00962ECA"/>
    <w:rsid w:val="00967D1D"/>
    <w:rsid w:val="00971C63"/>
    <w:rsid w:val="00974709"/>
    <w:rsid w:val="009927FE"/>
    <w:rsid w:val="00994803"/>
    <w:rsid w:val="00996CF9"/>
    <w:rsid w:val="009A72D9"/>
    <w:rsid w:val="009B6F09"/>
    <w:rsid w:val="009B79B9"/>
    <w:rsid w:val="009C0BA4"/>
    <w:rsid w:val="009C254E"/>
    <w:rsid w:val="009C46D4"/>
    <w:rsid w:val="009D4691"/>
    <w:rsid w:val="009D6100"/>
    <w:rsid w:val="009E27FD"/>
    <w:rsid w:val="009E4357"/>
    <w:rsid w:val="009E4BA6"/>
    <w:rsid w:val="009E56DB"/>
    <w:rsid w:val="009E5C74"/>
    <w:rsid w:val="009E730A"/>
    <w:rsid w:val="009F0169"/>
    <w:rsid w:val="009F37EA"/>
    <w:rsid w:val="009F5413"/>
    <w:rsid w:val="009F5867"/>
    <w:rsid w:val="009F5A48"/>
    <w:rsid w:val="009F5BD4"/>
    <w:rsid w:val="009F78A4"/>
    <w:rsid w:val="00A0654C"/>
    <w:rsid w:val="00A14F29"/>
    <w:rsid w:val="00A1672A"/>
    <w:rsid w:val="00A228CE"/>
    <w:rsid w:val="00A23620"/>
    <w:rsid w:val="00A27F20"/>
    <w:rsid w:val="00A30150"/>
    <w:rsid w:val="00A30A13"/>
    <w:rsid w:val="00A33CD7"/>
    <w:rsid w:val="00A34FFA"/>
    <w:rsid w:val="00A36AC2"/>
    <w:rsid w:val="00A61F72"/>
    <w:rsid w:val="00A63CB8"/>
    <w:rsid w:val="00A70EE8"/>
    <w:rsid w:val="00A72663"/>
    <w:rsid w:val="00A7395D"/>
    <w:rsid w:val="00A73A2F"/>
    <w:rsid w:val="00A81BCF"/>
    <w:rsid w:val="00A81DBE"/>
    <w:rsid w:val="00A83B87"/>
    <w:rsid w:val="00A859F4"/>
    <w:rsid w:val="00A863BE"/>
    <w:rsid w:val="00A91F4B"/>
    <w:rsid w:val="00A92CB6"/>
    <w:rsid w:val="00A9336F"/>
    <w:rsid w:val="00A97718"/>
    <w:rsid w:val="00AA0A9E"/>
    <w:rsid w:val="00AA1BBA"/>
    <w:rsid w:val="00AA7153"/>
    <w:rsid w:val="00AB187F"/>
    <w:rsid w:val="00AB46FD"/>
    <w:rsid w:val="00AC2E67"/>
    <w:rsid w:val="00AC6FE2"/>
    <w:rsid w:val="00AD1F99"/>
    <w:rsid w:val="00AE2B40"/>
    <w:rsid w:val="00AE3CCC"/>
    <w:rsid w:val="00AE46CF"/>
    <w:rsid w:val="00AF632A"/>
    <w:rsid w:val="00AF7802"/>
    <w:rsid w:val="00B02153"/>
    <w:rsid w:val="00B04B64"/>
    <w:rsid w:val="00B06D17"/>
    <w:rsid w:val="00B1537E"/>
    <w:rsid w:val="00B218B9"/>
    <w:rsid w:val="00B237B1"/>
    <w:rsid w:val="00B26ADC"/>
    <w:rsid w:val="00B279B2"/>
    <w:rsid w:val="00B27E4A"/>
    <w:rsid w:val="00B32132"/>
    <w:rsid w:val="00B33FAF"/>
    <w:rsid w:val="00B34543"/>
    <w:rsid w:val="00B36E28"/>
    <w:rsid w:val="00B403CA"/>
    <w:rsid w:val="00B4081E"/>
    <w:rsid w:val="00B43410"/>
    <w:rsid w:val="00B45474"/>
    <w:rsid w:val="00B53306"/>
    <w:rsid w:val="00B53FA0"/>
    <w:rsid w:val="00B55690"/>
    <w:rsid w:val="00B6017D"/>
    <w:rsid w:val="00B63390"/>
    <w:rsid w:val="00B654DE"/>
    <w:rsid w:val="00B65530"/>
    <w:rsid w:val="00B72DAB"/>
    <w:rsid w:val="00B76220"/>
    <w:rsid w:val="00B80206"/>
    <w:rsid w:val="00B80CBC"/>
    <w:rsid w:val="00B811B1"/>
    <w:rsid w:val="00B81A9C"/>
    <w:rsid w:val="00B92685"/>
    <w:rsid w:val="00B96832"/>
    <w:rsid w:val="00BA2331"/>
    <w:rsid w:val="00BA2C24"/>
    <w:rsid w:val="00BA774D"/>
    <w:rsid w:val="00BB0A96"/>
    <w:rsid w:val="00BB218E"/>
    <w:rsid w:val="00BB461C"/>
    <w:rsid w:val="00BC61A3"/>
    <w:rsid w:val="00BC7068"/>
    <w:rsid w:val="00BC7209"/>
    <w:rsid w:val="00BD31F4"/>
    <w:rsid w:val="00BD5BAB"/>
    <w:rsid w:val="00BD5CE8"/>
    <w:rsid w:val="00BE0B03"/>
    <w:rsid w:val="00BE71B6"/>
    <w:rsid w:val="00C05E88"/>
    <w:rsid w:val="00C212EA"/>
    <w:rsid w:val="00C2355A"/>
    <w:rsid w:val="00C2637E"/>
    <w:rsid w:val="00C276F7"/>
    <w:rsid w:val="00C312AB"/>
    <w:rsid w:val="00C32C85"/>
    <w:rsid w:val="00C3378E"/>
    <w:rsid w:val="00C4411B"/>
    <w:rsid w:val="00C4487F"/>
    <w:rsid w:val="00C462C5"/>
    <w:rsid w:val="00C540B9"/>
    <w:rsid w:val="00C6450D"/>
    <w:rsid w:val="00C662DD"/>
    <w:rsid w:val="00C70B3E"/>
    <w:rsid w:val="00C70DAE"/>
    <w:rsid w:val="00C70FD9"/>
    <w:rsid w:val="00C712FF"/>
    <w:rsid w:val="00C72294"/>
    <w:rsid w:val="00C7449F"/>
    <w:rsid w:val="00C74A6B"/>
    <w:rsid w:val="00C84F34"/>
    <w:rsid w:val="00C9088D"/>
    <w:rsid w:val="00C93E10"/>
    <w:rsid w:val="00CA3F5F"/>
    <w:rsid w:val="00CA57D1"/>
    <w:rsid w:val="00CA65EC"/>
    <w:rsid w:val="00CB026A"/>
    <w:rsid w:val="00CB4F17"/>
    <w:rsid w:val="00CB696E"/>
    <w:rsid w:val="00CC1763"/>
    <w:rsid w:val="00CC6FAD"/>
    <w:rsid w:val="00CE6244"/>
    <w:rsid w:val="00CF04EC"/>
    <w:rsid w:val="00CF6009"/>
    <w:rsid w:val="00CF7040"/>
    <w:rsid w:val="00D00843"/>
    <w:rsid w:val="00D010A3"/>
    <w:rsid w:val="00D15DFC"/>
    <w:rsid w:val="00D17005"/>
    <w:rsid w:val="00D201F9"/>
    <w:rsid w:val="00D22C4E"/>
    <w:rsid w:val="00D23BB0"/>
    <w:rsid w:val="00D25ECF"/>
    <w:rsid w:val="00D26DF4"/>
    <w:rsid w:val="00D31854"/>
    <w:rsid w:val="00D31F7B"/>
    <w:rsid w:val="00D36DF7"/>
    <w:rsid w:val="00D40E79"/>
    <w:rsid w:val="00D476BC"/>
    <w:rsid w:val="00D5000C"/>
    <w:rsid w:val="00D562FA"/>
    <w:rsid w:val="00D5649E"/>
    <w:rsid w:val="00D61098"/>
    <w:rsid w:val="00D6764E"/>
    <w:rsid w:val="00D75549"/>
    <w:rsid w:val="00D75E14"/>
    <w:rsid w:val="00D8630A"/>
    <w:rsid w:val="00D90FAA"/>
    <w:rsid w:val="00DA21EE"/>
    <w:rsid w:val="00DA3B3C"/>
    <w:rsid w:val="00DA68D5"/>
    <w:rsid w:val="00DC3B9A"/>
    <w:rsid w:val="00DC7EF5"/>
    <w:rsid w:val="00DE062E"/>
    <w:rsid w:val="00DF20B1"/>
    <w:rsid w:val="00DF4600"/>
    <w:rsid w:val="00DF6F42"/>
    <w:rsid w:val="00E07375"/>
    <w:rsid w:val="00E07749"/>
    <w:rsid w:val="00E20F80"/>
    <w:rsid w:val="00E220D9"/>
    <w:rsid w:val="00E22847"/>
    <w:rsid w:val="00E24576"/>
    <w:rsid w:val="00E447F7"/>
    <w:rsid w:val="00E47187"/>
    <w:rsid w:val="00E47311"/>
    <w:rsid w:val="00E53D01"/>
    <w:rsid w:val="00E556B6"/>
    <w:rsid w:val="00E5579B"/>
    <w:rsid w:val="00E578EE"/>
    <w:rsid w:val="00E614A0"/>
    <w:rsid w:val="00E62C9E"/>
    <w:rsid w:val="00E701D7"/>
    <w:rsid w:val="00E769CE"/>
    <w:rsid w:val="00E85996"/>
    <w:rsid w:val="00E866B7"/>
    <w:rsid w:val="00E9539B"/>
    <w:rsid w:val="00EA37AC"/>
    <w:rsid w:val="00EA5687"/>
    <w:rsid w:val="00EA59B1"/>
    <w:rsid w:val="00EA5D5F"/>
    <w:rsid w:val="00EA68EE"/>
    <w:rsid w:val="00EB15F4"/>
    <w:rsid w:val="00EC0AAF"/>
    <w:rsid w:val="00EC135C"/>
    <w:rsid w:val="00EC31B6"/>
    <w:rsid w:val="00EC61A7"/>
    <w:rsid w:val="00EC64D4"/>
    <w:rsid w:val="00EC7C66"/>
    <w:rsid w:val="00EE0FF5"/>
    <w:rsid w:val="00EE3BDA"/>
    <w:rsid w:val="00EE401A"/>
    <w:rsid w:val="00EE5E1F"/>
    <w:rsid w:val="00EF1CC5"/>
    <w:rsid w:val="00EF33A8"/>
    <w:rsid w:val="00EF3596"/>
    <w:rsid w:val="00EF4AEE"/>
    <w:rsid w:val="00EF4DA4"/>
    <w:rsid w:val="00EF718F"/>
    <w:rsid w:val="00F01B8F"/>
    <w:rsid w:val="00F05E09"/>
    <w:rsid w:val="00F10138"/>
    <w:rsid w:val="00F12209"/>
    <w:rsid w:val="00F15A3B"/>
    <w:rsid w:val="00F1671E"/>
    <w:rsid w:val="00F20112"/>
    <w:rsid w:val="00F252E9"/>
    <w:rsid w:val="00F3745C"/>
    <w:rsid w:val="00F37EB2"/>
    <w:rsid w:val="00F405B7"/>
    <w:rsid w:val="00F409B1"/>
    <w:rsid w:val="00F40A94"/>
    <w:rsid w:val="00F40AB4"/>
    <w:rsid w:val="00F42776"/>
    <w:rsid w:val="00F47F50"/>
    <w:rsid w:val="00F51704"/>
    <w:rsid w:val="00F5474D"/>
    <w:rsid w:val="00F54F9C"/>
    <w:rsid w:val="00F57C8A"/>
    <w:rsid w:val="00F659C7"/>
    <w:rsid w:val="00F71DF6"/>
    <w:rsid w:val="00F750BE"/>
    <w:rsid w:val="00F77823"/>
    <w:rsid w:val="00F82995"/>
    <w:rsid w:val="00F860D4"/>
    <w:rsid w:val="00F9028C"/>
    <w:rsid w:val="00F91CCE"/>
    <w:rsid w:val="00F9235D"/>
    <w:rsid w:val="00F96E84"/>
    <w:rsid w:val="00F9739B"/>
    <w:rsid w:val="00FA7193"/>
    <w:rsid w:val="00FA7B4B"/>
    <w:rsid w:val="00FB3048"/>
    <w:rsid w:val="00FB5BE9"/>
    <w:rsid w:val="00FB6E23"/>
    <w:rsid w:val="00FB7EC7"/>
    <w:rsid w:val="00FC0692"/>
    <w:rsid w:val="00FC5A9D"/>
    <w:rsid w:val="00FD2ED4"/>
    <w:rsid w:val="00FD320D"/>
    <w:rsid w:val="00FD3F40"/>
    <w:rsid w:val="00FD67E6"/>
    <w:rsid w:val="00FE0A64"/>
    <w:rsid w:val="01276EE8"/>
    <w:rsid w:val="02600504"/>
    <w:rsid w:val="027A76EE"/>
    <w:rsid w:val="039447DF"/>
    <w:rsid w:val="06606BFB"/>
    <w:rsid w:val="080A1514"/>
    <w:rsid w:val="0BCD7620"/>
    <w:rsid w:val="0D133A1F"/>
    <w:rsid w:val="0E4F332A"/>
    <w:rsid w:val="0FBE0066"/>
    <w:rsid w:val="112F5B47"/>
    <w:rsid w:val="12E017EF"/>
    <w:rsid w:val="143040B0"/>
    <w:rsid w:val="165E1976"/>
    <w:rsid w:val="16D03928"/>
    <w:rsid w:val="17463BEB"/>
    <w:rsid w:val="18D92F68"/>
    <w:rsid w:val="1930537C"/>
    <w:rsid w:val="19E576EB"/>
    <w:rsid w:val="1A110634"/>
    <w:rsid w:val="1A497C7A"/>
    <w:rsid w:val="1C2C1B1A"/>
    <w:rsid w:val="1CC17059"/>
    <w:rsid w:val="1F18526B"/>
    <w:rsid w:val="1F4A60B4"/>
    <w:rsid w:val="23097FD3"/>
    <w:rsid w:val="248D2E59"/>
    <w:rsid w:val="25115838"/>
    <w:rsid w:val="275544FE"/>
    <w:rsid w:val="296B7D86"/>
    <w:rsid w:val="2A32072A"/>
    <w:rsid w:val="2ADF3CE2"/>
    <w:rsid w:val="2D4B38B1"/>
    <w:rsid w:val="2E7B1445"/>
    <w:rsid w:val="2F452CAE"/>
    <w:rsid w:val="2FF13BF2"/>
    <w:rsid w:val="325274FF"/>
    <w:rsid w:val="333C7DDE"/>
    <w:rsid w:val="34F21A21"/>
    <w:rsid w:val="353A4937"/>
    <w:rsid w:val="35D703D8"/>
    <w:rsid w:val="376037DD"/>
    <w:rsid w:val="3B114DF7"/>
    <w:rsid w:val="3D436353"/>
    <w:rsid w:val="3DD376D7"/>
    <w:rsid w:val="3ED9165E"/>
    <w:rsid w:val="40354679"/>
    <w:rsid w:val="413B1790"/>
    <w:rsid w:val="42482694"/>
    <w:rsid w:val="45A2455E"/>
    <w:rsid w:val="476B6BD2"/>
    <w:rsid w:val="48186781"/>
    <w:rsid w:val="49AF0FF8"/>
    <w:rsid w:val="4D0C050F"/>
    <w:rsid w:val="4D422183"/>
    <w:rsid w:val="4D460FB1"/>
    <w:rsid w:val="5229020B"/>
    <w:rsid w:val="52950FA7"/>
    <w:rsid w:val="564231F4"/>
    <w:rsid w:val="583A6878"/>
    <w:rsid w:val="594159E5"/>
    <w:rsid w:val="5D7B1CC1"/>
    <w:rsid w:val="5ED115B9"/>
    <w:rsid w:val="602E60BA"/>
    <w:rsid w:val="610E08A2"/>
    <w:rsid w:val="65D6012C"/>
    <w:rsid w:val="6612673F"/>
    <w:rsid w:val="674943E2"/>
    <w:rsid w:val="68CF4340"/>
    <w:rsid w:val="68DC4DE2"/>
    <w:rsid w:val="69CC12FA"/>
    <w:rsid w:val="69CE6E20"/>
    <w:rsid w:val="6BBD5ED0"/>
    <w:rsid w:val="6BBF6898"/>
    <w:rsid w:val="6BDA7CFF"/>
    <w:rsid w:val="6D0019E7"/>
    <w:rsid w:val="6E8842D7"/>
    <w:rsid w:val="6E9D553D"/>
    <w:rsid w:val="6F5C0A2B"/>
    <w:rsid w:val="728C7879"/>
    <w:rsid w:val="72DF209E"/>
    <w:rsid w:val="731A1328"/>
    <w:rsid w:val="734300DC"/>
    <w:rsid w:val="73BB0416"/>
    <w:rsid w:val="75241FEA"/>
    <w:rsid w:val="75FF0362"/>
    <w:rsid w:val="76AA32D9"/>
    <w:rsid w:val="77245B9A"/>
    <w:rsid w:val="79AE38A9"/>
    <w:rsid w:val="7C174657"/>
    <w:rsid w:val="7C7F3FAA"/>
    <w:rsid w:val="7D4B14A7"/>
    <w:rsid w:val="7D9577C3"/>
    <w:rsid w:val="7EE66563"/>
    <w:rsid w:val="7F1A3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5"/>
    <w:semiHidden/>
    <w:qFormat/>
    <w:uiPriority w:val="0"/>
    <w:pPr>
      <w:shd w:val="clear" w:color="auto" w:fill="000080"/>
    </w:pPr>
  </w:style>
  <w:style w:type="paragraph" w:styleId="3">
    <w:name w:val="Balloon Text"/>
    <w:basedOn w:val="1"/>
    <w:link w:val="13"/>
    <w:semiHidden/>
    <w:unhideWhenUsed/>
    <w:qFormat/>
    <w:uiPriority w:val="0"/>
    <w:rPr>
      <w:sz w:val="18"/>
      <w:szCs w:val="18"/>
    </w:rPr>
  </w:style>
  <w:style w:type="paragraph" w:styleId="4">
    <w:name w:val="footer"/>
    <w:basedOn w:val="1"/>
    <w:link w:val="12"/>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7">
    <w:name w:val="Table Grid"/>
    <w:basedOn w:val="6"/>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bCs/>
    </w:rPr>
  </w:style>
  <w:style w:type="character" w:styleId="10">
    <w:name w:val="page number"/>
    <w:basedOn w:val="8"/>
    <w:qFormat/>
    <w:uiPriority w:val="0"/>
  </w:style>
  <w:style w:type="character" w:customStyle="1" w:styleId="11">
    <w:name w:val="页眉 Char"/>
    <w:basedOn w:val="8"/>
    <w:link w:val="5"/>
    <w:qFormat/>
    <w:uiPriority w:val="0"/>
    <w:rPr>
      <w:sz w:val="18"/>
      <w:szCs w:val="18"/>
    </w:rPr>
  </w:style>
  <w:style w:type="character" w:customStyle="1" w:styleId="12">
    <w:name w:val="页脚 Char"/>
    <w:basedOn w:val="8"/>
    <w:link w:val="4"/>
    <w:semiHidden/>
    <w:qFormat/>
    <w:uiPriority w:val="99"/>
    <w:rPr>
      <w:sz w:val="18"/>
      <w:szCs w:val="18"/>
    </w:rPr>
  </w:style>
  <w:style w:type="character" w:customStyle="1" w:styleId="13">
    <w:name w:val="批注框文本 Char"/>
    <w:basedOn w:val="8"/>
    <w:link w:val="3"/>
    <w:semiHidden/>
    <w:qFormat/>
    <w:uiPriority w:val="99"/>
    <w:rPr>
      <w:rFonts w:ascii="Times New Roman" w:hAnsi="Times New Roman" w:eastAsia="宋体" w:cs="Times New Roman"/>
      <w:sz w:val="18"/>
      <w:szCs w:val="18"/>
    </w:rPr>
  </w:style>
  <w:style w:type="paragraph" w:customStyle="1" w:styleId="14">
    <w:name w:val="Char Char Char Char"/>
    <w:basedOn w:val="2"/>
    <w:qFormat/>
    <w:uiPriority w:val="0"/>
    <w:pPr>
      <w:widowControl/>
      <w:ind w:firstLine="454"/>
      <w:jc w:val="left"/>
    </w:pPr>
    <w:rPr>
      <w:rFonts w:ascii="Tahoma" w:hAnsi="Tahoma" w:cs="宋体"/>
      <w:kern w:val="0"/>
      <w:szCs w:val="20"/>
    </w:rPr>
  </w:style>
  <w:style w:type="character" w:customStyle="1" w:styleId="15">
    <w:name w:val="文档结构图 Char"/>
    <w:basedOn w:val="8"/>
    <w:link w:val="2"/>
    <w:semiHidden/>
    <w:qFormat/>
    <w:uiPriority w:val="0"/>
    <w:rPr>
      <w:rFonts w:ascii="Times New Roman" w:hAnsi="Times New Roman" w:eastAsia="宋体" w:cs="Times New Roman"/>
      <w:szCs w:val="24"/>
      <w:shd w:val="clear" w:color="auto" w:fill="000080"/>
    </w:rPr>
  </w:style>
  <w:style w:type="paragraph" w:customStyle="1" w:styleId="16">
    <w:name w:val="Char"/>
    <w:basedOn w:val="1"/>
    <w:qFormat/>
    <w:uiPriority w:val="0"/>
    <w:rPr>
      <w:rFonts w:ascii="Tahoma" w:hAnsi="Tahoma"/>
      <w:sz w:val="24"/>
      <w:szCs w:val="20"/>
    </w:rPr>
  </w:style>
  <w:style w:type="paragraph" w:customStyle="1" w:styleId="17">
    <w:name w:val="p0"/>
    <w:basedOn w:val="1"/>
    <w:qFormat/>
    <w:uiPriority w:val="0"/>
    <w:pPr>
      <w:widowControl/>
    </w:pPr>
    <w:rPr>
      <w:kern w:val="0"/>
      <w:szCs w:val="20"/>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Sheet1!$B$1</c:f>
              <c:strCache>
                <c:ptCount val="1"/>
                <c:pt idx="0">
                  <c:v>2021年求人倍率</c:v>
                </c:pt>
              </c:strCache>
            </c:strRef>
          </c:tx>
          <c:spPr>
            <a:ln w="28575" cap="rnd">
              <a:solidFill>
                <a:schemeClr val="accent1"/>
              </a:solidFill>
              <a:round/>
            </a:ln>
            <a:effectLst/>
          </c:spPr>
          <c:marker>
            <c:symbol val="none"/>
          </c:marker>
          <c:dLbls>
            <c:delete val="1"/>
          </c:dLbls>
          <c:cat>
            <c:strRef>
              <c:f>Sheet1!$A$2:$A$4</c:f>
              <c:strCache>
                <c:ptCount val="3"/>
                <c:pt idx="0">
                  <c:v>一月</c:v>
                </c:pt>
                <c:pt idx="1">
                  <c:v>二月</c:v>
                </c:pt>
                <c:pt idx="2">
                  <c:v>三月</c:v>
                </c:pt>
              </c:strCache>
            </c:strRef>
          </c:cat>
          <c:val>
            <c:numRef>
              <c:f>Sheet1!$B$2:$B$4</c:f>
              <c:numCache>
                <c:formatCode>General</c:formatCode>
                <c:ptCount val="3"/>
                <c:pt idx="0">
                  <c:v>1.27</c:v>
                </c:pt>
                <c:pt idx="1">
                  <c:v>1.25</c:v>
                </c:pt>
                <c:pt idx="2">
                  <c:v>1.24</c:v>
                </c:pt>
              </c:numCache>
            </c:numRef>
          </c:val>
          <c:smooth val="0"/>
        </c:ser>
        <c:ser>
          <c:idx val="1"/>
          <c:order val="1"/>
          <c:tx>
            <c:strRef>
              <c:f>Sheet1!$C$1</c:f>
              <c:strCache>
                <c:ptCount val="1"/>
                <c:pt idx="0">
                  <c:v>2022年求人倍率</c:v>
                </c:pt>
              </c:strCache>
            </c:strRef>
          </c:tx>
          <c:spPr>
            <a:ln w="28575" cap="rnd">
              <a:solidFill>
                <a:schemeClr val="accent2"/>
              </a:solidFill>
              <a:round/>
            </a:ln>
            <a:effectLst/>
          </c:spPr>
          <c:marker>
            <c:symbol val="none"/>
          </c:marker>
          <c:dLbls>
            <c:delete val="1"/>
          </c:dLbls>
          <c:cat>
            <c:strRef>
              <c:f>Sheet1!$A$2:$A$4</c:f>
              <c:strCache>
                <c:ptCount val="3"/>
                <c:pt idx="0">
                  <c:v>一月</c:v>
                </c:pt>
                <c:pt idx="1">
                  <c:v>二月</c:v>
                </c:pt>
                <c:pt idx="2">
                  <c:v>三月</c:v>
                </c:pt>
              </c:strCache>
            </c:strRef>
          </c:cat>
          <c:val>
            <c:numRef>
              <c:f>Sheet1!$C$2:$C$4</c:f>
              <c:numCache>
                <c:formatCode>General</c:formatCode>
                <c:ptCount val="3"/>
                <c:pt idx="0">
                  <c:v>1.28</c:v>
                </c:pt>
                <c:pt idx="1">
                  <c:v>1.28</c:v>
                </c:pt>
                <c:pt idx="2">
                  <c:v>1.27</c:v>
                </c:pt>
              </c:numCache>
            </c:numRef>
          </c:val>
          <c:smooth val="0"/>
        </c:ser>
        <c:ser>
          <c:idx val="2"/>
          <c:order val="2"/>
          <c:tx>
            <c:strRef>
              <c:f>Sheet1!#REF!</c:f>
              <c:strCache>
                <c:ptCount val="1"/>
                <c:pt idx="0">
                  <c:v/>
                </c:pt>
              </c:strCache>
            </c:strRef>
          </c:tx>
          <c:spPr>
            <a:ln w="28575" cap="rnd">
              <a:solidFill>
                <a:schemeClr val="accent3"/>
              </a:solidFill>
              <a:round/>
            </a:ln>
            <a:effectLst/>
          </c:spPr>
          <c:marker>
            <c:symbol val="none"/>
          </c:marker>
          <c:dLbls>
            <c:delete val="1"/>
          </c:dLbls>
          <c:cat>
            <c:strRef>
              <c:f>Sheet1!$A$2:$A$4</c:f>
              <c:strCache>
                <c:ptCount val="3"/>
                <c:pt idx="0">
                  <c:v>一月</c:v>
                </c:pt>
                <c:pt idx="1">
                  <c:v>二月</c:v>
                </c:pt>
                <c:pt idx="2">
                  <c:v>三月</c:v>
                </c:pt>
              </c:strCache>
            </c:strRef>
          </c:cat>
          <c:val>
            <c:numRef>
              <c:f>Sheet1!#REF!</c:f>
              <c:numCache>
                <c:formatCode>General</c:formatCode>
                <c:ptCount val="1"/>
                <c:pt idx="0">
                  <c:v>1</c:v>
                </c:pt>
              </c:numCache>
            </c:numRef>
          </c:val>
          <c:smooth val="0"/>
        </c:ser>
        <c:dLbls>
          <c:showLegendKey val="0"/>
          <c:showVal val="0"/>
          <c:showCatName val="0"/>
          <c:showSerName val="0"/>
          <c:showPercent val="0"/>
          <c:showBubbleSize val="0"/>
        </c:dLbls>
        <c:marker val="0"/>
        <c:smooth val="0"/>
        <c:axId val="937958769"/>
        <c:axId val="338558725"/>
      </c:lineChart>
      <c:catAx>
        <c:axId val="937958769"/>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558725"/>
        <c:crosses val="autoZero"/>
        <c:auto val="1"/>
        <c:lblAlgn val="ctr"/>
        <c:lblOffset val="100"/>
        <c:noMultiLvlLbl val="0"/>
      </c:catAx>
      <c:valAx>
        <c:axId val="338558725"/>
        <c:scaling>
          <c:orientation val="minMax"/>
          <c:max val="1.3"/>
          <c:min val="1.2"/>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7958769"/>
        <c:crosses val="autoZero"/>
        <c:crossBetween val="between"/>
        <c:majorUnit val="0.01"/>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B5C1DC-599C-4BD8-9BAF-266677CBC06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Pages>
  <Words>4397</Words>
  <Characters>6037</Characters>
  <Lines>51</Lines>
  <Paragraphs>14</Paragraphs>
  <TotalTime>10</TotalTime>
  <ScaleCrop>false</ScaleCrop>
  <LinksUpToDate>false</LinksUpToDate>
  <CharactersWithSpaces>6170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2020-03-24T01:17:00Z</dcterms:created>
  <dc:creator>User</dc:creator>
  <cp:lastModifiedBy>Icemaples</cp:lastModifiedBy>
  <dcterms:modified xsi:type="dcterms:W3CDTF">2022-04-14T09:17:08Z</dcterms:modified>
  <cp:revision>754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4471520F918A4E4EB634502DB08AF7C8</vt:lpwstr>
  </property>
</Properties>
</file>