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EFA9FB">
      <w:pPr>
        <w:adjustRightInd w:val="0"/>
        <w:snapToGrid w:val="0"/>
        <w:spacing w:line="360" w:lineRule="auto"/>
        <w:jc w:val="center"/>
        <w:rPr>
          <w:rFonts w:ascii="宋体" w:hAnsi="宋体"/>
          <w:b/>
          <w:sz w:val="44"/>
          <w:szCs w:val="44"/>
        </w:rPr>
      </w:pPr>
      <w:r>
        <w:rPr>
          <w:rFonts w:hint="eastAsia" w:ascii="宋体" w:hAnsi="宋体"/>
          <w:b/>
          <w:sz w:val="24"/>
        </w:rPr>
        <w:t xml:space="preserve"> </w:t>
      </w:r>
      <w:r>
        <w:rPr>
          <w:rFonts w:ascii="宋体" w:hAnsi="宋体"/>
          <w:b/>
          <w:sz w:val="44"/>
          <w:szCs w:val="44"/>
        </w:rPr>
        <w:t>20</w:t>
      </w:r>
      <w:r>
        <w:rPr>
          <w:rFonts w:hint="eastAsia" w:ascii="宋体" w:hAnsi="宋体"/>
          <w:b/>
          <w:sz w:val="44"/>
          <w:szCs w:val="44"/>
        </w:rPr>
        <w:t>2</w:t>
      </w:r>
      <w:r>
        <w:rPr>
          <w:rFonts w:hint="eastAsia" w:ascii="宋体" w:hAnsi="宋体"/>
          <w:b/>
          <w:sz w:val="44"/>
          <w:szCs w:val="44"/>
          <w:lang w:val="en-US" w:eastAsia="zh-CN"/>
        </w:rPr>
        <w:t>3</w:t>
      </w:r>
      <w:r>
        <w:rPr>
          <w:rFonts w:ascii="宋体" w:hAnsi="宋体"/>
          <w:b/>
          <w:sz w:val="44"/>
          <w:szCs w:val="44"/>
        </w:rPr>
        <w:t>年</w:t>
      </w:r>
      <w:r>
        <w:rPr>
          <w:rFonts w:hint="eastAsia" w:ascii="宋体" w:hAnsi="宋体"/>
          <w:b/>
          <w:sz w:val="44"/>
          <w:szCs w:val="44"/>
          <w:lang w:val="en-US" w:eastAsia="zh-CN"/>
        </w:rPr>
        <w:t>第二季度</w:t>
      </w:r>
      <w:r>
        <w:rPr>
          <w:rFonts w:hint="eastAsia" w:ascii="宋体" w:hAnsi="宋体"/>
          <w:b/>
          <w:sz w:val="44"/>
          <w:szCs w:val="44"/>
        </w:rPr>
        <w:t>张家港市人力资源</w:t>
      </w:r>
    </w:p>
    <w:p w14:paraId="7C33B04E">
      <w:pPr>
        <w:adjustRightInd w:val="0"/>
        <w:snapToGrid w:val="0"/>
        <w:spacing w:line="360" w:lineRule="auto"/>
        <w:jc w:val="center"/>
        <w:rPr>
          <w:rFonts w:ascii="宋体" w:hAnsi="宋体"/>
          <w:b/>
          <w:sz w:val="44"/>
          <w:szCs w:val="44"/>
        </w:rPr>
      </w:pPr>
      <w:r>
        <w:rPr>
          <w:rFonts w:ascii="宋体" w:hAnsi="宋体"/>
          <w:b/>
          <w:sz w:val="44"/>
          <w:szCs w:val="44"/>
        </w:rPr>
        <w:t>市场供求状况分析</w:t>
      </w:r>
    </w:p>
    <w:p w14:paraId="29805E69">
      <w:pPr>
        <w:adjustRightInd w:val="0"/>
        <w:snapToGrid w:val="0"/>
        <w:spacing w:line="360" w:lineRule="auto"/>
        <w:jc w:val="center"/>
        <w:rPr>
          <w:rFonts w:ascii="宋体" w:hAnsi="宋体"/>
          <w:sz w:val="24"/>
        </w:rPr>
      </w:pPr>
    </w:p>
    <w:p w14:paraId="40818B01">
      <w:pPr>
        <w:adjustRightInd w:val="0"/>
        <w:snapToGrid w:val="0"/>
        <w:spacing w:line="360" w:lineRule="auto"/>
        <w:jc w:val="center"/>
        <w:rPr>
          <w:rFonts w:ascii="宋体" w:hAnsi="宋体"/>
          <w:sz w:val="24"/>
        </w:rPr>
      </w:pPr>
      <w:r>
        <w:rPr>
          <w:rFonts w:hint="eastAsia" w:ascii="宋体" w:hAnsi="宋体"/>
          <w:sz w:val="24"/>
        </w:rPr>
        <w:t>张家港市人力资源管理服务中心</w:t>
      </w:r>
    </w:p>
    <w:p w14:paraId="3D32461A">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jc w:val="left"/>
        <w:textAlignment w:val="auto"/>
        <w:rPr>
          <w:rFonts w:ascii="宋体" w:hAnsi="宋体" w:cs="宋体"/>
          <w:b/>
          <w:bCs/>
          <w:kern w:val="0"/>
          <w:sz w:val="24"/>
        </w:rPr>
      </w:pPr>
      <w:r>
        <w:rPr>
          <w:rFonts w:hint="eastAsia" w:ascii="宋体" w:hAnsi="宋体" w:cs="宋体"/>
          <w:b/>
          <w:bCs/>
          <w:kern w:val="0"/>
          <w:sz w:val="24"/>
        </w:rPr>
        <w:t>一、人力资源市场总体数据概况</w:t>
      </w:r>
    </w:p>
    <w:p w14:paraId="318AEAEC">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ascii="宋体" w:hAnsi="宋体" w:cs="宋体"/>
          <w:b/>
          <w:bCs/>
          <w:kern w:val="0"/>
          <w:sz w:val="24"/>
        </w:rPr>
      </w:pPr>
      <w:r>
        <w:rPr>
          <w:rFonts w:hint="eastAsia" w:ascii="宋体" w:hAnsi="宋体" w:cs="宋体"/>
          <w:kern w:val="0"/>
          <w:sz w:val="24"/>
        </w:rPr>
        <w:t>今年</w:t>
      </w:r>
      <w:r>
        <w:rPr>
          <w:rFonts w:hint="eastAsia" w:ascii="宋体" w:hAnsi="宋体" w:cs="宋体"/>
          <w:kern w:val="0"/>
          <w:sz w:val="24"/>
          <w:lang w:val="en-US" w:eastAsia="zh-CN"/>
        </w:rPr>
        <w:t>第二季度</w:t>
      </w:r>
      <w:r>
        <w:rPr>
          <w:rFonts w:hint="eastAsia" w:ascii="宋体" w:hAnsi="宋体" w:cs="宋体"/>
          <w:kern w:val="0"/>
          <w:sz w:val="24"/>
        </w:rPr>
        <w:t>，我市人力资源市场共提供岗位需求</w:t>
      </w:r>
      <w:r>
        <w:rPr>
          <w:rFonts w:hint="eastAsia" w:ascii="宋体" w:hAnsi="宋体" w:cs="宋体"/>
          <w:kern w:val="0"/>
          <w:sz w:val="24"/>
          <w:lang w:val="en-US" w:eastAsia="zh-CN"/>
        </w:rPr>
        <w:t>52938</w:t>
      </w:r>
      <w:r>
        <w:rPr>
          <w:rFonts w:hint="eastAsia" w:ascii="宋体" w:hAnsi="宋体" w:cs="宋体"/>
          <w:kern w:val="0"/>
          <w:sz w:val="24"/>
        </w:rPr>
        <w:t>个次，求职者</w:t>
      </w:r>
      <w:r>
        <w:rPr>
          <w:rFonts w:hint="eastAsia" w:ascii="宋体" w:hAnsi="宋体" w:cs="宋体"/>
          <w:kern w:val="0"/>
          <w:sz w:val="24"/>
          <w:lang w:val="en-US" w:eastAsia="zh-CN"/>
        </w:rPr>
        <w:t>43884</w:t>
      </w:r>
      <w:r>
        <w:rPr>
          <w:rFonts w:hint="eastAsia" w:ascii="宋体" w:hAnsi="宋体" w:cs="宋体"/>
          <w:kern w:val="0"/>
          <w:sz w:val="24"/>
        </w:rPr>
        <w:t>人次，求人倍率为1.2</w:t>
      </w:r>
      <w:r>
        <w:rPr>
          <w:rFonts w:hint="eastAsia" w:ascii="宋体" w:hAnsi="宋体" w:cs="宋体"/>
          <w:kern w:val="0"/>
          <w:sz w:val="24"/>
          <w:lang w:val="en-US" w:eastAsia="zh-CN"/>
        </w:rPr>
        <w:t>1</w:t>
      </w:r>
      <w:r>
        <w:rPr>
          <w:rFonts w:hint="eastAsia" w:ascii="宋体" w:hAnsi="宋体" w:cs="宋体"/>
          <w:kern w:val="0"/>
          <w:sz w:val="24"/>
        </w:rPr>
        <w:t>，求人倍率较</w:t>
      </w:r>
      <w:r>
        <w:rPr>
          <w:rFonts w:hint="eastAsia" w:ascii="宋体" w:hAnsi="宋体" w:cs="宋体"/>
          <w:color w:val="auto"/>
          <w:kern w:val="0"/>
          <w:sz w:val="24"/>
          <w:highlight w:val="none"/>
        </w:rPr>
        <w:t>202</w:t>
      </w:r>
      <w:r>
        <w:rPr>
          <w:rFonts w:hint="eastAsia" w:ascii="宋体" w:hAnsi="宋体" w:cs="宋体"/>
          <w:color w:val="auto"/>
          <w:kern w:val="0"/>
          <w:sz w:val="24"/>
          <w:highlight w:val="none"/>
          <w:lang w:val="en-US" w:eastAsia="zh-CN"/>
        </w:rPr>
        <w:t>2</w:t>
      </w:r>
      <w:r>
        <w:rPr>
          <w:rFonts w:hint="eastAsia" w:ascii="宋体" w:hAnsi="宋体" w:cs="宋体"/>
          <w:kern w:val="0"/>
          <w:sz w:val="24"/>
        </w:rPr>
        <w:t>年同期</w:t>
      </w:r>
      <w:r>
        <w:rPr>
          <w:rFonts w:hint="eastAsia" w:ascii="宋体" w:hAnsi="宋体" w:cs="宋体"/>
          <w:kern w:val="0"/>
          <w:sz w:val="24"/>
          <w:lang w:val="en-US" w:eastAsia="zh-CN"/>
        </w:rPr>
        <w:t>有所下降</w:t>
      </w:r>
      <w:r>
        <w:rPr>
          <w:rFonts w:hint="eastAsia" w:ascii="宋体" w:hAnsi="宋体" w:cs="宋体"/>
          <w:kern w:val="0"/>
          <w:sz w:val="24"/>
        </w:rPr>
        <w:t>。我市人力资源市场、各镇（区）人力资源市场在开展线上招聘会、直播荐岗等云聘活动的同时陆续开展线下招聘会，本期数据主要来源于全市人力资源市场现场招聘会以及张家港市人才网站采集的供求状况信息，均为有效数据。</w:t>
      </w:r>
    </w:p>
    <w:p w14:paraId="516F2170">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jc w:val="left"/>
        <w:textAlignment w:val="auto"/>
        <w:rPr>
          <w:rFonts w:ascii="宋体" w:hAnsi="宋体"/>
          <w:b/>
          <w:sz w:val="24"/>
        </w:rPr>
      </w:pPr>
      <w:r>
        <w:rPr>
          <w:rFonts w:hint="eastAsia" w:ascii="宋体" w:hAnsi="宋体"/>
          <w:b/>
          <w:sz w:val="24"/>
        </w:rPr>
        <w:t>二</w:t>
      </w:r>
      <w:r>
        <w:rPr>
          <w:rFonts w:ascii="宋体" w:hAnsi="宋体"/>
          <w:b/>
          <w:sz w:val="24"/>
        </w:rPr>
        <w:t>、供求总体情况</w:t>
      </w:r>
    </w:p>
    <w:p w14:paraId="0594F0B9">
      <w:pPr>
        <w:keepNext w:val="0"/>
        <w:keepLines w:val="0"/>
        <w:pageBreakBefore w:val="0"/>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宋体" w:hAnsi="宋体" w:cs="宋体"/>
          <w:b/>
          <w:kern w:val="0"/>
          <w:sz w:val="24"/>
        </w:rPr>
      </w:pPr>
      <w:r>
        <w:rPr>
          <w:rFonts w:hint="eastAsia" w:ascii="宋体" w:hAnsi="宋体" w:cs="宋体"/>
          <w:b/>
          <w:kern w:val="0"/>
          <w:sz w:val="24"/>
        </w:rPr>
        <w:t>（一）供求总体状况</w:t>
      </w:r>
    </w:p>
    <w:p w14:paraId="21E4EAE8">
      <w:pPr>
        <w:keepNext w:val="0"/>
        <w:keepLines w:val="0"/>
        <w:pageBreakBefore w:val="0"/>
        <w:kinsoku/>
        <w:wordWrap/>
        <w:overflowPunct/>
        <w:topLinePunct w:val="0"/>
        <w:autoSpaceDE/>
        <w:autoSpaceDN/>
        <w:bidi w:val="0"/>
        <w:adjustRightInd/>
        <w:snapToGrid/>
        <w:spacing w:beforeAutospacing="0" w:afterAutospacing="0" w:line="360" w:lineRule="auto"/>
        <w:ind w:firstLine="480" w:firstLineChars="200"/>
        <w:textAlignment w:val="auto"/>
        <w:rPr>
          <w:rFonts w:ascii="宋体" w:hAnsi="宋体" w:cs="宋体"/>
          <w:color w:val="FF0000"/>
          <w:kern w:val="0"/>
          <w:sz w:val="24"/>
        </w:rPr>
      </w:pPr>
      <w:r>
        <w:rPr>
          <w:rFonts w:hint="eastAsia" w:ascii="宋体" w:hAnsi="宋体" w:cs="宋体"/>
          <w:kern w:val="0"/>
          <w:sz w:val="24"/>
          <w:lang w:val="en-US" w:eastAsia="zh-CN"/>
        </w:rPr>
        <w:t>今年第二季度需</w:t>
      </w:r>
      <w:r>
        <w:rPr>
          <w:rFonts w:hint="eastAsia" w:ascii="宋体" w:hAnsi="宋体" w:cs="宋体"/>
          <w:kern w:val="0"/>
          <w:sz w:val="24"/>
        </w:rPr>
        <w:t>求人数</w:t>
      </w:r>
      <w:r>
        <w:rPr>
          <w:rFonts w:hint="eastAsia" w:ascii="宋体" w:hAnsi="宋体" w:cs="宋体"/>
          <w:kern w:val="0"/>
          <w:sz w:val="24"/>
          <w:lang w:val="en-US" w:eastAsia="zh-CN"/>
        </w:rPr>
        <w:t>52938</w:t>
      </w:r>
      <w:r>
        <w:rPr>
          <w:rFonts w:hint="eastAsia" w:ascii="宋体" w:hAnsi="宋体" w:cs="宋体"/>
          <w:kern w:val="0"/>
          <w:sz w:val="24"/>
        </w:rPr>
        <w:t>人，与去年同期相比</w:t>
      </w:r>
      <w:r>
        <w:rPr>
          <w:rFonts w:hint="eastAsia" w:ascii="宋体" w:hAnsi="宋体" w:cs="宋体"/>
          <w:kern w:val="0"/>
          <w:sz w:val="24"/>
          <w:lang w:val="en-US" w:eastAsia="zh-CN"/>
        </w:rPr>
        <w:t>增加3061</w:t>
      </w:r>
      <w:r>
        <w:rPr>
          <w:rFonts w:hint="eastAsia" w:ascii="宋体" w:hAnsi="宋体" w:cs="宋体"/>
          <w:kern w:val="0"/>
          <w:sz w:val="24"/>
        </w:rPr>
        <w:t>人，</w:t>
      </w:r>
      <w:r>
        <w:rPr>
          <w:rFonts w:hint="eastAsia" w:ascii="宋体" w:hAnsi="宋体" w:cs="宋体"/>
          <w:kern w:val="0"/>
          <w:sz w:val="24"/>
          <w:lang w:val="en-US" w:eastAsia="zh-CN"/>
        </w:rPr>
        <w:t>增</w:t>
      </w:r>
      <w:r>
        <w:rPr>
          <w:rFonts w:hint="eastAsia" w:ascii="宋体" w:hAnsi="宋体" w:cs="宋体"/>
          <w:kern w:val="0"/>
          <w:sz w:val="24"/>
        </w:rPr>
        <w:t>幅为</w:t>
      </w:r>
      <w:r>
        <w:rPr>
          <w:rFonts w:hint="eastAsia" w:ascii="宋体" w:hAnsi="宋体" w:cs="宋体"/>
          <w:kern w:val="0"/>
          <w:sz w:val="24"/>
          <w:lang w:val="en-US" w:eastAsia="zh-CN"/>
        </w:rPr>
        <w:t>6.14</w:t>
      </w:r>
      <w:r>
        <w:rPr>
          <w:rFonts w:hint="eastAsia" w:ascii="宋体" w:hAnsi="宋体" w:cs="宋体"/>
          <w:kern w:val="0"/>
          <w:sz w:val="24"/>
        </w:rPr>
        <w:t>%。求职人数为</w:t>
      </w:r>
      <w:r>
        <w:rPr>
          <w:rFonts w:hint="eastAsia" w:ascii="宋体" w:hAnsi="宋体" w:cs="宋体"/>
          <w:kern w:val="0"/>
          <w:sz w:val="24"/>
          <w:lang w:val="en-US" w:eastAsia="zh-CN"/>
        </w:rPr>
        <w:t>43884</w:t>
      </w:r>
      <w:r>
        <w:rPr>
          <w:rFonts w:hint="eastAsia" w:ascii="宋体" w:hAnsi="宋体" w:cs="宋体"/>
          <w:kern w:val="0"/>
          <w:sz w:val="24"/>
        </w:rPr>
        <w:t>人，与去年同期相比</w:t>
      </w:r>
      <w:r>
        <w:rPr>
          <w:rFonts w:hint="eastAsia" w:ascii="宋体" w:hAnsi="宋体" w:cs="宋体"/>
          <w:kern w:val="0"/>
          <w:sz w:val="24"/>
          <w:lang w:val="en-US" w:eastAsia="zh-CN"/>
        </w:rPr>
        <w:t>增加4421</w:t>
      </w:r>
      <w:r>
        <w:rPr>
          <w:rFonts w:hint="eastAsia" w:ascii="宋体" w:hAnsi="宋体" w:cs="宋体"/>
          <w:kern w:val="0"/>
          <w:sz w:val="24"/>
        </w:rPr>
        <w:t>人，</w:t>
      </w:r>
      <w:r>
        <w:rPr>
          <w:rFonts w:hint="eastAsia" w:ascii="宋体" w:hAnsi="宋体" w:cs="宋体"/>
          <w:kern w:val="0"/>
          <w:sz w:val="24"/>
          <w:lang w:val="en-US" w:eastAsia="zh-CN"/>
        </w:rPr>
        <w:t>增</w:t>
      </w:r>
      <w:r>
        <w:rPr>
          <w:rFonts w:hint="eastAsia" w:ascii="宋体" w:hAnsi="宋体" w:cs="宋体"/>
          <w:kern w:val="0"/>
          <w:sz w:val="24"/>
        </w:rPr>
        <w:t>幅为</w:t>
      </w:r>
      <w:r>
        <w:rPr>
          <w:rFonts w:hint="eastAsia" w:ascii="宋体" w:hAnsi="宋体" w:cs="宋体"/>
          <w:kern w:val="0"/>
          <w:sz w:val="24"/>
          <w:lang w:val="en-US" w:eastAsia="zh-CN"/>
        </w:rPr>
        <w:t>11.2</w:t>
      </w:r>
      <w:r>
        <w:rPr>
          <w:rFonts w:hint="eastAsia" w:ascii="宋体" w:hAnsi="宋体" w:cs="宋体"/>
          <w:kern w:val="0"/>
          <w:sz w:val="24"/>
        </w:rPr>
        <w:t>%。</w:t>
      </w:r>
    </w:p>
    <w:p w14:paraId="7D9F4A85">
      <w:pPr>
        <w:adjustRightInd w:val="0"/>
        <w:snapToGrid w:val="0"/>
        <w:spacing w:line="360" w:lineRule="auto"/>
        <w:jc w:val="center"/>
        <w:rPr>
          <w:rFonts w:ascii="宋体" w:hAnsi="宋体"/>
          <w:sz w:val="24"/>
        </w:rPr>
      </w:pPr>
      <w:r>
        <w:rPr>
          <w:rFonts w:hint="eastAsia" w:ascii="宋体" w:hAnsi="宋体"/>
          <w:sz w:val="24"/>
        </w:rPr>
        <w:t>表</w:t>
      </w:r>
      <w:r>
        <w:rPr>
          <w:rFonts w:ascii="宋体" w:hAnsi="宋体"/>
          <w:sz w:val="24"/>
        </w:rPr>
        <w:t>1</w:t>
      </w:r>
      <w:r>
        <w:rPr>
          <w:rFonts w:hint="eastAsia" w:ascii="宋体" w:hAnsi="宋体"/>
          <w:sz w:val="24"/>
        </w:rPr>
        <w:t>. 供求总体情况</w:t>
      </w:r>
    </w:p>
    <w:tbl>
      <w:tblPr>
        <w:tblStyle w:val="8"/>
        <w:tblW w:w="6039" w:type="dxa"/>
        <w:jc w:val="center"/>
        <w:tblLayout w:type="fixed"/>
        <w:tblCellMar>
          <w:top w:w="0" w:type="dxa"/>
          <w:left w:w="0" w:type="dxa"/>
          <w:bottom w:w="0" w:type="dxa"/>
          <w:right w:w="0" w:type="dxa"/>
        </w:tblCellMar>
      </w:tblPr>
      <w:tblGrid>
        <w:gridCol w:w="1347"/>
        <w:gridCol w:w="1607"/>
        <w:gridCol w:w="1585"/>
        <w:gridCol w:w="1500"/>
      </w:tblGrid>
      <w:tr w14:paraId="2F5CAE5C">
        <w:tblPrEx>
          <w:tblCellMar>
            <w:top w:w="0" w:type="dxa"/>
            <w:left w:w="0" w:type="dxa"/>
            <w:bottom w:w="0" w:type="dxa"/>
            <w:right w:w="0" w:type="dxa"/>
          </w:tblCellMar>
        </w:tblPrEx>
        <w:trPr>
          <w:trHeight w:val="820" w:hRule="atLeast"/>
          <w:jc w:val="center"/>
        </w:trPr>
        <w:tc>
          <w:tcPr>
            <w:tcW w:w="1347" w:type="dxa"/>
            <w:tcBorders>
              <w:top w:val="single" w:color="auto" w:sz="8" w:space="0"/>
              <w:left w:val="single" w:color="auto" w:sz="8" w:space="0"/>
              <w:bottom w:val="single" w:color="auto" w:sz="8" w:space="0"/>
              <w:right w:val="single" w:color="auto" w:sz="8" w:space="0"/>
            </w:tcBorders>
            <w:shd w:val="clear" w:color="auto" w:fill="FFFF99"/>
            <w:tcMar>
              <w:top w:w="0" w:type="dxa"/>
              <w:left w:w="108" w:type="dxa"/>
              <w:bottom w:w="0" w:type="dxa"/>
              <w:right w:w="108" w:type="dxa"/>
            </w:tcMar>
            <w:vAlign w:val="center"/>
          </w:tcPr>
          <w:p w14:paraId="1EC4C7A5">
            <w:pPr>
              <w:widowControl/>
              <w:spacing w:before="100" w:beforeAutospacing="1" w:after="100" w:afterAutospacing="1" w:line="360" w:lineRule="auto"/>
              <w:ind w:firstLine="420"/>
              <w:jc w:val="center"/>
              <w:rPr>
                <w:rFonts w:ascii="宋体" w:hAnsi="宋体" w:cs="宋体"/>
                <w:kern w:val="0"/>
                <w:sz w:val="24"/>
              </w:rPr>
            </w:pPr>
            <w:r>
              <w:rPr>
                <w:rFonts w:ascii="宋体" w:hAnsi="宋体" w:cs="宋体"/>
                <w:kern w:val="0"/>
                <w:sz w:val="24"/>
              </w:rPr>
              <w:t> </w:t>
            </w:r>
          </w:p>
        </w:tc>
        <w:tc>
          <w:tcPr>
            <w:tcW w:w="1607" w:type="dxa"/>
            <w:tcBorders>
              <w:top w:val="single" w:color="auto" w:sz="8" w:space="0"/>
              <w:left w:val="nil"/>
              <w:bottom w:val="single" w:color="auto" w:sz="8" w:space="0"/>
              <w:right w:val="single" w:color="auto" w:sz="8" w:space="0"/>
            </w:tcBorders>
            <w:shd w:val="clear" w:color="auto" w:fill="FFFF99"/>
            <w:tcMar>
              <w:top w:w="0" w:type="dxa"/>
              <w:left w:w="108" w:type="dxa"/>
              <w:bottom w:w="0" w:type="dxa"/>
              <w:right w:w="108" w:type="dxa"/>
            </w:tcMar>
            <w:vAlign w:val="center"/>
          </w:tcPr>
          <w:p w14:paraId="66FB671D">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val="en-US" w:eastAsia="zh-CN"/>
              </w:rPr>
              <w:t>第二季度</w:t>
            </w:r>
            <w:r>
              <w:rPr>
                <w:rFonts w:hint="eastAsia" w:ascii="宋体" w:hAnsi="宋体" w:cs="宋体"/>
                <w:kern w:val="0"/>
                <w:sz w:val="24"/>
              </w:rPr>
              <w:t>需求人数（人）</w:t>
            </w:r>
          </w:p>
        </w:tc>
        <w:tc>
          <w:tcPr>
            <w:tcW w:w="1585" w:type="dxa"/>
            <w:tcBorders>
              <w:top w:val="single" w:color="auto" w:sz="8" w:space="0"/>
              <w:left w:val="nil"/>
              <w:bottom w:val="single" w:color="auto" w:sz="8" w:space="0"/>
              <w:right w:val="single" w:color="auto" w:sz="8" w:space="0"/>
            </w:tcBorders>
            <w:shd w:val="clear" w:color="auto" w:fill="FFFF99"/>
            <w:tcMar>
              <w:top w:w="0" w:type="dxa"/>
              <w:left w:w="108" w:type="dxa"/>
              <w:bottom w:w="0" w:type="dxa"/>
              <w:right w:w="108" w:type="dxa"/>
            </w:tcMar>
            <w:vAlign w:val="center"/>
          </w:tcPr>
          <w:p w14:paraId="503CC8FA">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val="en-US" w:eastAsia="zh-CN"/>
              </w:rPr>
              <w:t>第二季度</w:t>
            </w:r>
            <w:r>
              <w:rPr>
                <w:rFonts w:hint="eastAsia" w:ascii="宋体" w:hAnsi="宋体" w:cs="宋体"/>
                <w:kern w:val="0"/>
                <w:sz w:val="24"/>
              </w:rPr>
              <w:t>求职人数（人）</w:t>
            </w:r>
          </w:p>
        </w:tc>
        <w:tc>
          <w:tcPr>
            <w:tcW w:w="1500" w:type="dxa"/>
            <w:tcBorders>
              <w:top w:val="single" w:color="auto" w:sz="8" w:space="0"/>
              <w:left w:val="nil"/>
              <w:bottom w:val="single" w:color="auto" w:sz="8" w:space="0"/>
              <w:right w:val="single" w:color="auto" w:sz="8" w:space="0"/>
            </w:tcBorders>
            <w:shd w:val="clear" w:color="auto" w:fill="FFFF99"/>
            <w:tcMar>
              <w:top w:w="0" w:type="dxa"/>
              <w:left w:w="108" w:type="dxa"/>
              <w:bottom w:w="0" w:type="dxa"/>
              <w:right w:w="108" w:type="dxa"/>
            </w:tcMar>
            <w:vAlign w:val="center"/>
          </w:tcPr>
          <w:p w14:paraId="2AFF789A">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val="en-US" w:eastAsia="zh-CN"/>
              </w:rPr>
              <w:t>第二季度</w:t>
            </w:r>
            <w:r>
              <w:rPr>
                <w:rFonts w:hint="eastAsia" w:ascii="宋体" w:hAnsi="宋体" w:cs="宋体"/>
                <w:kern w:val="0"/>
                <w:sz w:val="24"/>
              </w:rPr>
              <w:t>求人倍率</w:t>
            </w:r>
          </w:p>
        </w:tc>
      </w:tr>
      <w:tr w14:paraId="08C404B8">
        <w:tblPrEx>
          <w:tblCellMar>
            <w:top w:w="0" w:type="dxa"/>
            <w:left w:w="0" w:type="dxa"/>
            <w:bottom w:w="0" w:type="dxa"/>
            <w:right w:w="0" w:type="dxa"/>
          </w:tblCellMar>
        </w:tblPrEx>
        <w:trPr>
          <w:trHeight w:val="804" w:hRule="atLeast"/>
          <w:jc w:val="center"/>
        </w:trPr>
        <w:tc>
          <w:tcPr>
            <w:tcW w:w="1347" w:type="dxa"/>
            <w:tcBorders>
              <w:top w:val="single" w:color="auto" w:sz="8" w:space="0"/>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254CF269">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本期</w:t>
            </w:r>
          </w:p>
          <w:p w14:paraId="6DC255C3">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有效数</w:t>
            </w:r>
          </w:p>
        </w:tc>
        <w:tc>
          <w:tcPr>
            <w:tcW w:w="160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22585EC3">
            <w:pPr>
              <w:keepNext w:val="0"/>
              <w:keepLines w:val="0"/>
              <w:widowControl/>
              <w:suppressLineNumbers w:val="0"/>
              <w:jc w:val="center"/>
              <w:textAlignment w:val="center"/>
              <w:rPr>
                <w:rFonts w:hint="default"/>
                <w:sz w:val="24"/>
                <w:lang w:val="en-US" w:eastAsia="zh-CN"/>
              </w:rPr>
            </w:pPr>
            <w:r>
              <w:rPr>
                <w:rFonts w:hint="eastAsia" w:ascii="宋体" w:hAnsi="宋体" w:eastAsia="宋体" w:cs="宋体"/>
                <w:i w:val="0"/>
                <w:iCs w:val="0"/>
                <w:color w:val="000000"/>
                <w:kern w:val="0"/>
                <w:sz w:val="20"/>
                <w:szCs w:val="20"/>
                <w:u w:val="none"/>
                <w:lang w:val="en-US" w:eastAsia="zh-CN" w:bidi="ar"/>
              </w:rPr>
              <w:t>52938</w:t>
            </w:r>
          </w:p>
        </w:tc>
        <w:tc>
          <w:tcPr>
            <w:tcW w:w="158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4BC5C497">
            <w:pPr>
              <w:keepNext w:val="0"/>
              <w:keepLines w:val="0"/>
              <w:widowControl/>
              <w:suppressLineNumbers w:val="0"/>
              <w:jc w:val="center"/>
              <w:textAlignment w:val="center"/>
              <w:rPr>
                <w:rFonts w:hint="default"/>
                <w:sz w:val="24"/>
                <w:lang w:val="en-US" w:eastAsia="zh-CN"/>
              </w:rPr>
            </w:pPr>
            <w:r>
              <w:rPr>
                <w:rFonts w:hint="eastAsia" w:ascii="宋体" w:hAnsi="宋体" w:eastAsia="宋体" w:cs="宋体"/>
                <w:i w:val="0"/>
                <w:iCs w:val="0"/>
                <w:color w:val="000000"/>
                <w:kern w:val="0"/>
                <w:sz w:val="20"/>
                <w:szCs w:val="20"/>
                <w:u w:val="none"/>
                <w:lang w:val="en-US" w:eastAsia="zh-CN" w:bidi="ar"/>
              </w:rPr>
              <w:t>43884</w:t>
            </w:r>
          </w:p>
        </w:tc>
        <w:tc>
          <w:tcPr>
            <w:tcW w:w="150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379433F8">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1.21 </w:t>
            </w:r>
          </w:p>
        </w:tc>
      </w:tr>
    </w:tbl>
    <w:p w14:paraId="75474757">
      <w:pPr>
        <w:adjustRightInd w:val="0"/>
        <w:snapToGrid w:val="0"/>
        <w:spacing w:line="360" w:lineRule="auto"/>
        <w:rPr>
          <w:rFonts w:hint="eastAsia" w:ascii="宋体" w:hAnsi="宋体"/>
          <w:b/>
          <w:sz w:val="24"/>
        </w:rPr>
      </w:pPr>
    </w:p>
    <w:p w14:paraId="4AB5AFA8">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ascii="宋体" w:hAnsi="宋体"/>
          <w:b/>
          <w:sz w:val="24"/>
        </w:rPr>
      </w:pPr>
      <w:r>
        <w:rPr>
          <w:rFonts w:hint="eastAsia" w:ascii="宋体" w:hAnsi="宋体"/>
          <w:b/>
          <w:sz w:val="24"/>
        </w:rPr>
        <w:t>（二）</w:t>
      </w:r>
      <w:r>
        <w:rPr>
          <w:rFonts w:ascii="宋体" w:hAnsi="宋体"/>
          <w:b/>
          <w:sz w:val="24"/>
        </w:rPr>
        <w:t>分</w:t>
      </w:r>
      <w:r>
        <w:rPr>
          <w:rFonts w:hint="eastAsia" w:ascii="宋体" w:hAnsi="宋体"/>
          <w:b/>
          <w:sz w:val="24"/>
        </w:rPr>
        <w:t>产业、</w:t>
      </w:r>
      <w:r>
        <w:rPr>
          <w:rFonts w:ascii="宋体" w:hAnsi="宋体"/>
          <w:b/>
          <w:sz w:val="24"/>
        </w:rPr>
        <w:t>行业劳动力需求</w:t>
      </w:r>
    </w:p>
    <w:p w14:paraId="0CE0C42A">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ascii="宋体" w:hAnsi="宋体" w:cs="宋体"/>
          <w:color w:val="FF0000"/>
          <w:kern w:val="0"/>
          <w:sz w:val="24"/>
        </w:rPr>
      </w:pPr>
      <w:r>
        <w:rPr>
          <w:rFonts w:hint="eastAsia" w:ascii="宋体" w:hAnsi="宋体" w:cs="宋体"/>
          <w:kern w:val="0"/>
          <w:sz w:val="24"/>
        </w:rPr>
        <w:t>从产业分组情况看，第一产业</w:t>
      </w:r>
      <w:r>
        <w:rPr>
          <w:rFonts w:hint="eastAsia" w:ascii="宋体" w:hAnsi="宋体" w:cs="宋体"/>
          <w:kern w:val="0"/>
          <w:sz w:val="24"/>
          <w:lang w:val="en-US" w:eastAsia="zh-CN"/>
        </w:rPr>
        <w:t>今年第二季度</w:t>
      </w:r>
      <w:r>
        <w:rPr>
          <w:rFonts w:hint="eastAsia" w:ascii="宋体" w:hAnsi="宋体" w:cs="宋体"/>
          <w:kern w:val="0"/>
          <w:sz w:val="24"/>
        </w:rPr>
        <w:t>为</w:t>
      </w:r>
      <w:r>
        <w:rPr>
          <w:rFonts w:ascii="宋体" w:hAnsi="宋体" w:cs="宋体"/>
          <w:kern w:val="0"/>
          <w:sz w:val="24"/>
        </w:rPr>
        <w:t>0</w:t>
      </w:r>
      <w:r>
        <w:rPr>
          <w:rFonts w:hint="eastAsia" w:ascii="宋体" w:hAnsi="宋体" w:cs="宋体"/>
          <w:kern w:val="0"/>
          <w:sz w:val="24"/>
        </w:rPr>
        <w:t>；第二产业</w:t>
      </w:r>
      <w:r>
        <w:rPr>
          <w:rFonts w:hint="eastAsia" w:ascii="宋体" w:hAnsi="宋体" w:cs="宋体"/>
          <w:kern w:val="0"/>
          <w:sz w:val="24"/>
          <w:lang w:val="en-US" w:eastAsia="zh-CN"/>
        </w:rPr>
        <w:t>本季度</w:t>
      </w:r>
      <w:r>
        <w:rPr>
          <w:rFonts w:hint="eastAsia" w:ascii="宋体" w:hAnsi="宋体" w:cs="宋体"/>
          <w:kern w:val="0"/>
          <w:sz w:val="24"/>
        </w:rPr>
        <w:t>需求数为</w:t>
      </w:r>
      <w:r>
        <w:rPr>
          <w:rFonts w:hint="eastAsia" w:ascii="宋体" w:hAnsi="宋体" w:cs="宋体"/>
          <w:kern w:val="0"/>
          <w:sz w:val="24"/>
          <w:lang w:val="en-US" w:eastAsia="zh-CN"/>
        </w:rPr>
        <w:t>36784</w:t>
      </w:r>
      <w:r>
        <w:rPr>
          <w:rFonts w:hint="eastAsia" w:ascii="宋体" w:hAnsi="宋体" w:cs="宋体"/>
          <w:kern w:val="0"/>
          <w:sz w:val="24"/>
        </w:rPr>
        <w:t>人，占总需求的69.</w:t>
      </w:r>
      <w:r>
        <w:rPr>
          <w:rFonts w:hint="eastAsia" w:ascii="宋体" w:hAnsi="宋体" w:cs="宋体"/>
          <w:kern w:val="0"/>
          <w:sz w:val="24"/>
          <w:lang w:val="en-US" w:eastAsia="zh-CN"/>
        </w:rPr>
        <w:t>49</w:t>
      </w:r>
      <w:r>
        <w:rPr>
          <w:rFonts w:hint="eastAsia" w:ascii="宋体" w:hAnsi="宋体" w:cs="宋体"/>
          <w:kern w:val="0"/>
          <w:sz w:val="24"/>
        </w:rPr>
        <w:t>%，第三产业</w:t>
      </w:r>
      <w:r>
        <w:rPr>
          <w:rFonts w:hint="eastAsia" w:ascii="宋体" w:hAnsi="宋体" w:cs="宋体"/>
          <w:kern w:val="0"/>
          <w:sz w:val="24"/>
          <w:lang w:val="en-US" w:eastAsia="zh-CN"/>
        </w:rPr>
        <w:t>第二季度</w:t>
      </w:r>
      <w:r>
        <w:rPr>
          <w:rFonts w:hint="eastAsia" w:ascii="宋体" w:hAnsi="宋体" w:cs="宋体"/>
          <w:kern w:val="0"/>
          <w:sz w:val="24"/>
        </w:rPr>
        <w:t>需求数为</w:t>
      </w:r>
      <w:r>
        <w:rPr>
          <w:rFonts w:hint="eastAsia" w:ascii="宋体" w:hAnsi="宋体" w:cs="宋体"/>
          <w:kern w:val="0"/>
          <w:sz w:val="24"/>
          <w:lang w:val="en-US" w:eastAsia="zh-CN"/>
        </w:rPr>
        <w:t>16154</w:t>
      </w:r>
      <w:r>
        <w:rPr>
          <w:rFonts w:hint="eastAsia" w:ascii="宋体" w:hAnsi="宋体" w:cs="宋体"/>
          <w:kern w:val="0"/>
          <w:sz w:val="24"/>
        </w:rPr>
        <w:t>人，占总需求的30.</w:t>
      </w:r>
      <w:r>
        <w:rPr>
          <w:rFonts w:hint="eastAsia" w:ascii="宋体" w:hAnsi="宋体" w:cs="宋体"/>
          <w:kern w:val="0"/>
          <w:sz w:val="24"/>
          <w:lang w:val="en-US" w:eastAsia="zh-CN"/>
        </w:rPr>
        <w:t>51</w:t>
      </w:r>
      <w:r>
        <w:rPr>
          <w:rFonts w:hint="eastAsia" w:ascii="宋体" w:hAnsi="宋体" w:cs="宋体"/>
          <w:kern w:val="0"/>
          <w:sz w:val="24"/>
        </w:rPr>
        <w:t>%。</w:t>
      </w:r>
    </w:p>
    <w:p w14:paraId="15C4824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kern w:val="0"/>
          <w:sz w:val="24"/>
        </w:rPr>
      </w:pPr>
      <w:r>
        <w:rPr>
          <w:rFonts w:hint="eastAsia" w:ascii="宋体" w:hAnsi="宋体" w:cs="宋体"/>
          <w:kern w:val="0"/>
          <w:sz w:val="24"/>
        </w:rPr>
        <w:t>第一产业始终为0，第二产业居人力资源市场需求的主导地位，我市用工需求主要集中在生产性企业中。</w:t>
      </w:r>
    </w:p>
    <w:p w14:paraId="4B2D010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cs="宋体"/>
          <w:kern w:val="0"/>
          <w:sz w:val="24"/>
        </w:rPr>
      </w:pPr>
    </w:p>
    <w:p w14:paraId="067B709B">
      <w:pPr>
        <w:adjustRightInd w:val="0"/>
        <w:snapToGrid w:val="0"/>
        <w:spacing w:line="360" w:lineRule="auto"/>
        <w:jc w:val="center"/>
        <w:rPr>
          <w:rFonts w:ascii="宋体" w:hAnsi="宋体"/>
          <w:sz w:val="24"/>
        </w:rPr>
      </w:pPr>
      <w:r>
        <w:rPr>
          <w:rFonts w:hint="eastAsia" w:ascii="宋体" w:hAnsi="宋体"/>
          <w:sz w:val="24"/>
        </w:rPr>
        <w:t>表2. 按产业分组的需求人数</w:t>
      </w:r>
    </w:p>
    <w:tbl>
      <w:tblPr>
        <w:tblStyle w:val="8"/>
        <w:tblW w:w="433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398"/>
        <w:gridCol w:w="1466"/>
        <w:gridCol w:w="1466"/>
      </w:tblGrid>
      <w:tr w14:paraId="6DE93EC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1398" w:type="dxa"/>
            <w:tcBorders>
              <w:top w:val="single" w:color="000000" w:sz="8" w:space="0"/>
              <w:left w:val="single" w:color="000000" w:sz="8" w:space="0"/>
              <w:bottom w:val="single" w:color="000000" w:sz="8" w:space="0"/>
              <w:right w:val="single" w:color="000000" w:sz="8" w:space="0"/>
            </w:tcBorders>
            <w:shd w:val="clear" w:color="auto" w:fill="FFFF99"/>
            <w:tcMar>
              <w:top w:w="0" w:type="dxa"/>
              <w:left w:w="108" w:type="dxa"/>
              <w:bottom w:w="0" w:type="dxa"/>
              <w:right w:w="108" w:type="dxa"/>
            </w:tcMar>
            <w:vAlign w:val="center"/>
          </w:tcPr>
          <w:p w14:paraId="6DA29C36">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产业</w:t>
            </w:r>
          </w:p>
        </w:tc>
        <w:tc>
          <w:tcPr>
            <w:tcW w:w="1466" w:type="dxa"/>
            <w:tcBorders>
              <w:top w:val="single" w:color="000000" w:sz="8" w:space="0"/>
              <w:left w:val="nil"/>
              <w:bottom w:val="single" w:color="000000" w:sz="8" w:space="0"/>
              <w:right w:val="single" w:color="auto" w:sz="8" w:space="0"/>
            </w:tcBorders>
            <w:shd w:val="clear" w:color="auto" w:fill="FFFF99"/>
            <w:tcMar>
              <w:top w:w="0" w:type="dxa"/>
              <w:left w:w="108" w:type="dxa"/>
              <w:bottom w:w="0" w:type="dxa"/>
              <w:right w:w="108" w:type="dxa"/>
            </w:tcMar>
            <w:vAlign w:val="center"/>
          </w:tcPr>
          <w:p w14:paraId="022E9AD4">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val="en-US" w:eastAsia="zh-CN"/>
              </w:rPr>
              <w:t>第二季度</w:t>
            </w:r>
            <w:r>
              <w:rPr>
                <w:rFonts w:hint="eastAsia" w:ascii="宋体" w:hAnsi="宋体" w:cs="宋体"/>
                <w:kern w:val="0"/>
                <w:sz w:val="24"/>
              </w:rPr>
              <w:t>需求人数 (人)</w:t>
            </w:r>
          </w:p>
        </w:tc>
        <w:tc>
          <w:tcPr>
            <w:tcW w:w="1466" w:type="dxa"/>
            <w:tcBorders>
              <w:top w:val="single" w:color="000000" w:sz="8" w:space="0"/>
              <w:left w:val="nil"/>
              <w:bottom w:val="single" w:color="000000" w:sz="8" w:space="0"/>
              <w:right w:val="single" w:color="000000" w:sz="8" w:space="0"/>
            </w:tcBorders>
            <w:shd w:val="clear" w:color="auto" w:fill="FFFF99"/>
            <w:tcMar>
              <w:top w:w="0" w:type="dxa"/>
              <w:left w:w="108" w:type="dxa"/>
              <w:bottom w:w="0" w:type="dxa"/>
              <w:right w:w="108" w:type="dxa"/>
            </w:tcMar>
            <w:vAlign w:val="center"/>
          </w:tcPr>
          <w:p w14:paraId="28073405">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第二季度</w:t>
            </w:r>
            <w:r>
              <w:rPr>
                <w:rFonts w:hint="eastAsia" w:ascii="宋体" w:hAnsi="宋体" w:cs="宋体"/>
                <w:kern w:val="0"/>
                <w:sz w:val="24"/>
              </w:rPr>
              <w:t>需求所占比重 (%)</w:t>
            </w:r>
          </w:p>
        </w:tc>
      </w:tr>
      <w:tr w14:paraId="228B98F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1398" w:type="dxa"/>
            <w:tcBorders>
              <w:top w:val="single" w:color="000000" w:sz="8" w:space="0"/>
              <w:left w:val="single" w:color="000000" w:sz="8" w:space="0"/>
              <w:bottom w:val="single" w:color="000000" w:sz="8" w:space="0"/>
              <w:right w:val="single" w:color="auto" w:sz="8" w:space="0"/>
            </w:tcBorders>
            <w:shd w:val="clear" w:color="auto" w:fill="CCFFCC"/>
            <w:tcMar>
              <w:top w:w="0" w:type="dxa"/>
              <w:left w:w="108" w:type="dxa"/>
              <w:bottom w:w="0" w:type="dxa"/>
              <w:right w:w="108" w:type="dxa"/>
            </w:tcMar>
            <w:vAlign w:val="center"/>
          </w:tcPr>
          <w:p w14:paraId="119C0639">
            <w:pPr>
              <w:jc w:val="center"/>
              <w:rPr>
                <w:rFonts w:hint="eastAsia"/>
                <w:sz w:val="24"/>
                <w:lang w:val="en-US" w:eastAsia="zh-CN"/>
              </w:rPr>
            </w:pPr>
            <w:r>
              <w:rPr>
                <w:rFonts w:hint="eastAsia"/>
                <w:sz w:val="24"/>
                <w:lang w:val="en-US" w:eastAsia="zh-CN"/>
              </w:rPr>
              <w:t>第一产业</w:t>
            </w:r>
          </w:p>
        </w:tc>
        <w:tc>
          <w:tcPr>
            <w:tcW w:w="1466" w:type="dxa"/>
            <w:tcBorders>
              <w:top w:val="single" w:color="000000" w:sz="8" w:space="0"/>
              <w:left w:val="nil"/>
              <w:bottom w:val="single" w:color="000000" w:sz="8" w:space="0"/>
              <w:right w:val="single" w:color="000000" w:sz="8" w:space="0"/>
            </w:tcBorders>
            <w:shd w:val="clear" w:color="auto" w:fill="CCFFFF"/>
            <w:tcMar>
              <w:top w:w="0" w:type="dxa"/>
              <w:left w:w="108" w:type="dxa"/>
              <w:bottom w:w="0" w:type="dxa"/>
              <w:right w:w="108" w:type="dxa"/>
            </w:tcMar>
            <w:vAlign w:val="center"/>
          </w:tcPr>
          <w:p w14:paraId="546CACA0">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4"/>
                <w:szCs w:val="24"/>
                <w:u w:val="none"/>
                <w:lang w:val="en-US" w:eastAsia="zh-CN" w:bidi="ar"/>
              </w:rPr>
              <w:t>0</w:t>
            </w:r>
          </w:p>
        </w:tc>
        <w:tc>
          <w:tcPr>
            <w:tcW w:w="1466" w:type="dxa"/>
            <w:tcBorders>
              <w:top w:val="single" w:color="000000" w:sz="8" w:space="0"/>
              <w:left w:val="nil"/>
              <w:bottom w:val="single" w:color="000000" w:sz="8" w:space="0"/>
              <w:right w:val="single" w:color="auto" w:sz="8" w:space="0"/>
            </w:tcBorders>
            <w:shd w:val="clear" w:color="auto" w:fill="CCFFFF"/>
            <w:tcMar>
              <w:top w:w="0" w:type="dxa"/>
              <w:left w:w="108" w:type="dxa"/>
              <w:bottom w:w="0" w:type="dxa"/>
              <w:right w:w="108" w:type="dxa"/>
            </w:tcMar>
            <w:vAlign w:val="center"/>
          </w:tcPr>
          <w:p w14:paraId="5D400D58">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4"/>
                <w:szCs w:val="24"/>
                <w:u w:val="none"/>
                <w:lang w:val="en-US" w:eastAsia="zh-CN" w:bidi="ar"/>
              </w:rPr>
              <w:t>0.00%</w:t>
            </w:r>
          </w:p>
        </w:tc>
      </w:tr>
      <w:tr w14:paraId="2D6D650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1398" w:type="dxa"/>
            <w:tcBorders>
              <w:top w:val="single" w:color="000000" w:sz="8" w:space="0"/>
              <w:left w:val="single" w:color="000000" w:sz="8" w:space="0"/>
              <w:bottom w:val="single" w:color="000000" w:sz="8" w:space="0"/>
              <w:right w:val="single" w:color="auto" w:sz="8" w:space="0"/>
            </w:tcBorders>
            <w:shd w:val="clear" w:color="auto" w:fill="CCFFCC"/>
            <w:tcMar>
              <w:top w:w="0" w:type="dxa"/>
              <w:left w:w="108" w:type="dxa"/>
              <w:bottom w:w="0" w:type="dxa"/>
              <w:right w:w="108" w:type="dxa"/>
            </w:tcMar>
            <w:vAlign w:val="center"/>
          </w:tcPr>
          <w:p w14:paraId="141A7207">
            <w:pPr>
              <w:jc w:val="center"/>
              <w:rPr>
                <w:rFonts w:hint="eastAsia"/>
                <w:sz w:val="24"/>
                <w:lang w:val="en-US" w:eastAsia="zh-CN"/>
              </w:rPr>
            </w:pPr>
            <w:r>
              <w:rPr>
                <w:rFonts w:hint="eastAsia"/>
                <w:sz w:val="24"/>
                <w:lang w:val="en-US" w:eastAsia="zh-CN"/>
              </w:rPr>
              <w:t>第二产业</w:t>
            </w:r>
          </w:p>
        </w:tc>
        <w:tc>
          <w:tcPr>
            <w:tcW w:w="1466" w:type="dxa"/>
            <w:tcBorders>
              <w:top w:val="single" w:color="000000" w:sz="8" w:space="0"/>
              <w:left w:val="nil"/>
              <w:bottom w:val="single" w:color="000000" w:sz="8" w:space="0"/>
              <w:right w:val="single" w:color="000000" w:sz="8" w:space="0"/>
            </w:tcBorders>
            <w:shd w:val="clear" w:color="auto" w:fill="CCFFFF"/>
            <w:tcMar>
              <w:top w:w="0" w:type="dxa"/>
              <w:left w:w="108" w:type="dxa"/>
              <w:bottom w:w="0" w:type="dxa"/>
              <w:right w:w="108" w:type="dxa"/>
            </w:tcMar>
            <w:vAlign w:val="center"/>
          </w:tcPr>
          <w:p w14:paraId="402EAFA2">
            <w:pPr>
              <w:keepNext w:val="0"/>
              <w:keepLines w:val="0"/>
              <w:widowControl/>
              <w:suppressLineNumbers w:val="0"/>
              <w:jc w:val="center"/>
              <w:textAlignment w:val="center"/>
              <w:rPr>
                <w:rFonts w:hint="default"/>
                <w:sz w:val="24"/>
                <w:lang w:val="en-US" w:eastAsia="zh-CN"/>
              </w:rPr>
            </w:pPr>
            <w:r>
              <w:rPr>
                <w:rFonts w:hint="eastAsia" w:ascii="宋体" w:hAnsi="宋体" w:eastAsia="宋体" w:cs="宋体"/>
                <w:i w:val="0"/>
                <w:iCs w:val="0"/>
                <w:color w:val="000000"/>
                <w:kern w:val="0"/>
                <w:sz w:val="22"/>
                <w:szCs w:val="22"/>
                <w:u w:val="none"/>
                <w:lang w:val="en-US" w:eastAsia="zh-CN" w:bidi="ar"/>
              </w:rPr>
              <w:t>36784</w:t>
            </w:r>
          </w:p>
        </w:tc>
        <w:tc>
          <w:tcPr>
            <w:tcW w:w="1466" w:type="dxa"/>
            <w:tcBorders>
              <w:top w:val="single" w:color="000000" w:sz="8" w:space="0"/>
              <w:left w:val="nil"/>
              <w:bottom w:val="single" w:color="000000" w:sz="8" w:space="0"/>
              <w:right w:val="single" w:color="auto" w:sz="8" w:space="0"/>
            </w:tcBorders>
            <w:shd w:val="clear" w:color="auto" w:fill="CCFFFF"/>
            <w:tcMar>
              <w:top w:w="0" w:type="dxa"/>
              <w:left w:w="108" w:type="dxa"/>
              <w:bottom w:w="0" w:type="dxa"/>
              <w:right w:w="108" w:type="dxa"/>
            </w:tcMar>
            <w:vAlign w:val="center"/>
          </w:tcPr>
          <w:p w14:paraId="562BF5CB">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4"/>
                <w:szCs w:val="24"/>
                <w:u w:val="none"/>
                <w:lang w:val="en-US" w:eastAsia="zh-CN" w:bidi="ar"/>
              </w:rPr>
              <w:t>69.49%</w:t>
            </w:r>
          </w:p>
        </w:tc>
      </w:tr>
      <w:tr w14:paraId="34A12B0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1398" w:type="dxa"/>
            <w:tcBorders>
              <w:top w:val="single" w:color="000000" w:sz="8" w:space="0"/>
              <w:left w:val="single" w:color="000000" w:sz="8" w:space="0"/>
              <w:bottom w:val="single" w:color="000000" w:sz="8" w:space="0"/>
              <w:right w:val="single" w:color="auto" w:sz="8" w:space="0"/>
            </w:tcBorders>
            <w:shd w:val="clear" w:color="auto" w:fill="CCFFCC"/>
            <w:tcMar>
              <w:top w:w="0" w:type="dxa"/>
              <w:left w:w="108" w:type="dxa"/>
              <w:bottom w:w="0" w:type="dxa"/>
              <w:right w:w="108" w:type="dxa"/>
            </w:tcMar>
            <w:vAlign w:val="center"/>
          </w:tcPr>
          <w:p w14:paraId="3EB2CB11">
            <w:pPr>
              <w:jc w:val="center"/>
              <w:rPr>
                <w:rFonts w:hint="eastAsia"/>
                <w:sz w:val="24"/>
                <w:lang w:val="en-US" w:eastAsia="zh-CN"/>
              </w:rPr>
            </w:pPr>
            <w:r>
              <w:rPr>
                <w:rFonts w:hint="eastAsia"/>
                <w:sz w:val="24"/>
                <w:lang w:val="en-US" w:eastAsia="zh-CN"/>
              </w:rPr>
              <w:t>第三产业</w:t>
            </w:r>
          </w:p>
        </w:tc>
        <w:tc>
          <w:tcPr>
            <w:tcW w:w="1466" w:type="dxa"/>
            <w:tcBorders>
              <w:top w:val="single" w:color="000000" w:sz="8" w:space="0"/>
              <w:left w:val="nil"/>
              <w:bottom w:val="single" w:color="000000" w:sz="8" w:space="0"/>
              <w:right w:val="single" w:color="000000" w:sz="8" w:space="0"/>
            </w:tcBorders>
            <w:shd w:val="clear" w:color="auto" w:fill="CCFFFF"/>
            <w:tcMar>
              <w:top w:w="0" w:type="dxa"/>
              <w:left w:w="108" w:type="dxa"/>
              <w:bottom w:w="0" w:type="dxa"/>
              <w:right w:w="108" w:type="dxa"/>
            </w:tcMar>
            <w:vAlign w:val="center"/>
          </w:tcPr>
          <w:p w14:paraId="4B05A54D">
            <w:pPr>
              <w:keepNext w:val="0"/>
              <w:keepLines w:val="0"/>
              <w:widowControl/>
              <w:suppressLineNumbers w:val="0"/>
              <w:jc w:val="center"/>
              <w:textAlignment w:val="center"/>
              <w:rPr>
                <w:rFonts w:hint="default"/>
                <w:sz w:val="24"/>
                <w:lang w:val="en-US" w:eastAsia="zh-CN"/>
              </w:rPr>
            </w:pPr>
            <w:r>
              <w:rPr>
                <w:rFonts w:hint="eastAsia" w:ascii="宋体" w:hAnsi="宋体" w:eastAsia="宋体" w:cs="宋体"/>
                <w:i w:val="0"/>
                <w:iCs w:val="0"/>
                <w:color w:val="000000"/>
                <w:kern w:val="0"/>
                <w:sz w:val="24"/>
                <w:szCs w:val="24"/>
                <w:u w:val="none"/>
                <w:lang w:val="en-US" w:eastAsia="zh-CN" w:bidi="ar"/>
              </w:rPr>
              <w:t>16154</w:t>
            </w:r>
          </w:p>
        </w:tc>
        <w:tc>
          <w:tcPr>
            <w:tcW w:w="1466" w:type="dxa"/>
            <w:tcBorders>
              <w:top w:val="single" w:color="000000" w:sz="8" w:space="0"/>
              <w:left w:val="nil"/>
              <w:bottom w:val="single" w:color="000000" w:sz="8" w:space="0"/>
              <w:right w:val="single" w:color="auto" w:sz="8" w:space="0"/>
            </w:tcBorders>
            <w:shd w:val="clear" w:color="auto" w:fill="CCFFFF"/>
            <w:tcMar>
              <w:top w:w="0" w:type="dxa"/>
              <w:left w:w="108" w:type="dxa"/>
              <w:bottom w:w="0" w:type="dxa"/>
              <w:right w:w="108" w:type="dxa"/>
            </w:tcMar>
            <w:vAlign w:val="center"/>
          </w:tcPr>
          <w:p w14:paraId="62EE85A2">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4"/>
                <w:szCs w:val="24"/>
                <w:u w:val="none"/>
                <w:lang w:val="en-US" w:eastAsia="zh-CN" w:bidi="ar"/>
              </w:rPr>
              <w:t>30.51%</w:t>
            </w:r>
          </w:p>
        </w:tc>
      </w:tr>
      <w:tr w14:paraId="2D6AFDD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720" w:hRule="atLeast"/>
          <w:jc w:val="center"/>
        </w:trPr>
        <w:tc>
          <w:tcPr>
            <w:tcW w:w="1398" w:type="dxa"/>
            <w:tcBorders>
              <w:top w:val="single" w:color="000000" w:sz="8" w:space="0"/>
              <w:left w:val="single" w:color="000000" w:sz="8" w:space="0"/>
              <w:bottom w:val="single" w:color="000000" w:sz="8" w:space="0"/>
              <w:right w:val="single" w:color="auto" w:sz="8" w:space="0"/>
            </w:tcBorders>
            <w:shd w:val="clear" w:color="auto" w:fill="CCFFCC"/>
            <w:tcMar>
              <w:top w:w="0" w:type="dxa"/>
              <w:left w:w="108" w:type="dxa"/>
              <w:bottom w:w="0" w:type="dxa"/>
              <w:right w:w="108" w:type="dxa"/>
            </w:tcMar>
            <w:vAlign w:val="center"/>
          </w:tcPr>
          <w:p w14:paraId="7D5FB57F">
            <w:pPr>
              <w:jc w:val="center"/>
              <w:rPr>
                <w:rFonts w:hint="eastAsia"/>
                <w:sz w:val="24"/>
                <w:lang w:val="en-US" w:eastAsia="zh-CN"/>
              </w:rPr>
            </w:pPr>
            <w:r>
              <w:rPr>
                <w:rFonts w:hint="eastAsia"/>
                <w:sz w:val="24"/>
                <w:lang w:val="en-US" w:eastAsia="zh-CN"/>
              </w:rPr>
              <w:t>合计</w:t>
            </w:r>
          </w:p>
        </w:tc>
        <w:tc>
          <w:tcPr>
            <w:tcW w:w="1466" w:type="dxa"/>
            <w:tcBorders>
              <w:top w:val="single" w:color="000000" w:sz="8" w:space="0"/>
              <w:left w:val="nil"/>
              <w:bottom w:val="single" w:color="000000" w:sz="8" w:space="0"/>
              <w:right w:val="single" w:color="000000" w:sz="8" w:space="0"/>
            </w:tcBorders>
            <w:shd w:val="clear" w:color="auto" w:fill="CCFFFF"/>
            <w:tcMar>
              <w:top w:w="0" w:type="dxa"/>
              <w:left w:w="108" w:type="dxa"/>
              <w:bottom w:w="0" w:type="dxa"/>
              <w:right w:w="108" w:type="dxa"/>
            </w:tcMar>
            <w:vAlign w:val="center"/>
          </w:tcPr>
          <w:p w14:paraId="39D7D9A8">
            <w:pPr>
              <w:keepNext w:val="0"/>
              <w:keepLines w:val="0"/>
              <w:widowControl/>
              <w:suppressLineNumbers w:val="0"/>
              <w:jc w:val="center"/>
              <w:textAlignment w:val="center"/>
              <w:rPr>
                <w:rFonts w:hint="default"/>
                <w:sz w:val="24"/>
                <w:lang w:val="en-US" w:eastAsia="zh-CN"/>
              </w:rPr>
            </w:pPr>
            <w:r>
              <w:rPr>
                <w:rFonts w:hint="eastAsia" w:ascii="宋体" w:hAnsi="宋体" w:eastAsia="宋体" w:cs="宋体"/>
                <w:i w:val="0"/>
                <w:iCs w:val="0"/>
                <w:color w:val="000000"/>
                <w:kern w:val="0"/>
                <w:sz w:val="24"/>
                <w:szCs w:val="24"/>
                <w:u w:val="none"/>
                <w:lang w:val="en-US" w:eastAsia="zh-CN" w:bidi="ar"/>
              </w:rPr>
              <w:t>52938</w:t>
            </w:r>
          </w:p>
        </w:tc>
        <w:tc>
          <w:tcPr>
            <w:tcW w:w="1466" w:type="dxa"/>
            <w:tcBorders>
              <w:top w:val="single" w:color="000000" w:sz="8" w:space="0"/>
              <w:left w:val="nil"/>
              <w:bottom w:val="single" w:color="000000" w:sz="8" w:space="0"/>
              <w:right w:val="single" w:color="auto" w:sz="8" w:space="0"/>
            </w:tcBorders>
            <w:shd w:val="clear" w:color="auto" w:fill="CCFFFF"/>
            <w:tcMar>
              <w:top w:w="0" w:type="dxa"/>
              <w:left w:w="108" w:type="dxa"/>
              <w:bottom w:w="0" w:type="dxa"/>
              <w:right w:w="108" w:type="dxa"/>
            </w:tcMar>
            <w:vAlign w:val="center"/>
          </w:tcPr>
          <w:p w14:paraId="58DEE32A">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4"/>
                <w:szCs w:val="24"/>
                <w:u w:val="none"/>
                <w:lang w:val="en-US" w:eastAsia="zh-CN" w:bidi="ar"/>
              </w:rPr>
              <w:t>100.00%</w:t>
            </w:r>
          </w:p>
        </w:tc>
      </w:tr>
    </w:tbl>
    <w:p w14:paraId="26258B36">
      <w:pPr>
        <w:adjustRightInd w:val="0"/>
        <w:snapToGrid w:val="0"/>
        <w:spacing w:line="360" w:lineRule="auto"/>
        <w:rPr>
          <w:rFonts w:ascii="宋体" w:hAnsi="宋体"/>
          <w:color w:val="FF0000"/>
          <w:sz w:val="24"/>
        </w:rPr>
      </w:pPr>
      <w:r>
        <w:rPr>
          <w:rFonts w:hint="eastAsia" w:ascii="宋体" w:hAnsi="宋体"/>
          <w:color w:val="FF0000"/>
          <w:sz w:val="24"/>
        </w:rPr>
        <w:t xml:space="preserve">                </w:t>
      </w:r>
    </w:p>
    <w:p w14:paraId="5E94CA78">
      <w:pPr>
        <w:adjustRightInd w:val="0"/>
        <w:snapToGrid w:val="0"/>
        <w:spacing w:line="360" w:lineRule="auto"/>
        <w:ind w:firstLine="480" w:firstLineChars="200"/>
        <w:rPr>
          <w:rFonts w:ascii="宋体" w:hAnsi="宋体"/>
          <w:sz w:val="24"/>
        </w:rPr>
      </w:pPr>
      <w:r>
        <w:rPr>
          <w:rFonts w:hint="eastAsia" w:ascii="宋体" w:hAnsi="宋体"/>
          <w:sz w:val="24"/>
        </w:rPr>
        <w:t>从行业需求来看，</w:t>
      </w:r>
      <w:r>
        <w:rPr>
          <w:rFonts w:hint="eastAsia" w:ascii="宋体" w:hAnsi="宋体"/>
          <w:sz w:val="24"/>
          <w:lang w:eastAsia="zh-CN"/>
        </w:rPr>
        <w:t>第二季度</w:t>
      </w:r>
      <w:r>
        <w:rPr>
          <w:rFonts w:hint="eastAsia" w:ascii="宋体" w:hAnsi="宋体"/>
          <w:sz w:val="24"/>
        </w:rPr>
        <w:t>6</w:t>
      </w:r>
      <w:r>
        <w:rPr>
          <w:rFonts w:hint="eastAsia" w:ascii="宋体" w:hAnsi="宋体"/>
          <w:sz w:val="24"/>
          <w:lang w:val="en-US" w:eastAsia="zh-CN"/>
        </w:rPr>
        <w:t>7.66</w:t>
      </w:r>
      <w:r>
        <w:rPr>
          <w:rFonts w:hint="eastAsia" w:ascii="宋体" w:hAnsi="宋体"/>
          <w:sz w:val="24"/>
        </w:rPr>
        <w:t>%的用人需求集中在制造业，其次为</w:t>
      </w:r>
      <w:r>
        <w:rPr>
          <w:rFonts w:hint="eastAsia" w:ascii="宋体" w:hAnsi="宋体" w:cs="宋体"/>
          <w:kern w:val="0"/>
          <w:sz w:val="24"/>
        </w:rPr>
        <w:t>信息传输、计算机服务和软件业</w:t>
      </w:r>
      <w:r>
        <w:rPr>
          <w:rFonts w:hint="eastAsia" w:ascii="宋体" w:hAnsi="宋体"/>
          <w:sz w:val="24"/>
        </w:rPr>
        <w:t>，占总需求的</w:t>
      </w:r>
      <w:r>
        <w:rPr>
          <w:rFonts w:hint="eastAsia" w:ascii="宋体" w:hAnsi="宋体"/>
          <w:sz w:val="24"/>
          <w:lang w:val="en-US" w:eastAsia="zh-CN"/>
        </w:rPr>
        <w:t>8</w:t>
      </w:r>
      <w:r>
        <w:rPr>
          <w:rFonts w:hint="eastAsia" w:ascii="宋体" w:hAnsi="宋体"/>
          <w:sz w:val="24"/>
        </w:rPr>
        <w:t>.</w:t>
      </w:r>
      <w:r>
        <w:rPr>
          <w:rFonts w:hint="eastAsia" w:ascii="宋体" w:hAnsi="宋体"/>
          <w:sz w:val="24"/>
          <w:lang w:val="en-US" w:eastAsia="zh-CN"/>
        </w:rPr>
        <w:t>95</w:t>
      </w:r>
      <w:r>
        <w:rPr>
          <w:rFonts w:hint="eastAsia" w:ascii="宋体" w:hAnsi="宋体"/>
          <w:sz w:val="24"/>
        </w:rPr>
        <w:t>%，再次为</w:t>
      </w:r>
      <w:r>
        <w:rPr>
          <w:rFonts w:hint="eastAsia" w:ascii="宋体" w:hAnsi="宋体" w:cs="宋体"/>
          <w:kern w:val="0"/>
          <w:sz w:val="24"/>
          <w:lang w:val="en-US" w:eastAsia="zh-CN"/>
        </w:rPr>
        <w:t>批发和零售</w:t>
      </w:r>
      <w:r>
        <w:rPr>
          <w:rFonts w:hint="eastAsia" w:ascii="宋体" w:hAnsi="宋体" w:cs="宋体"/>
          <w:kern w:val="0"/>
          <w:sz w:val="24"/>
        </w:rPr>
        <w:t>业</w:t>
      </w:r>
      <w:r>
        <w:rPr>
          <w:rFonts w:hint="eastAsia" w:ascii="宋体" w:hAnsi="宋体"/>
          <w:sz w:val="24"/>
        </w:rPr>
        <w:t>，占总需求的</w:t>
      </w:r>
      <w:r>
        <w:rPr>
          <w:rFonts w:hint="eastAsia" w:ascii="宋体" w:hAnsi="宋体"/>
          <w:sz w:val="24"/>
          <w:lang w:val="en-US" w:eastAsia="zh-CN"/>
        </w:rPr>
        <w:t>6</w:t>
      </w:r>
      <w:r>
        <w:rPr>
          <w:rFonts w:hint="eastAsia" w:ascii="宋体" w:hAnsi="宋体"/>
          <w:sz w:val="24"/>
        </w:rPr>
        <w:t>.5</w:t>
      </w:r>
      <w:r>
        <w:rPr>
          <w:rFonts w:hint="eastAsia" w:ascii="宋体" w:hAnsi="宋体"/>
          <w:sz w:val="24"/>
          <w:lang w:val="en-US" w:eastAsia="zh-CN"/>
        </w:rPr>
        <w:t>2</w:t>
      </w:r>
      <w:r>
        <w:rPr>
          <w:rFonts w:hint="eastAsia" w:ascii="宋体" w:hAnsi="宋体"/>
          <w:sz w:val="24"/>
        </w:rPr>
        <w:t>%。</w:t>
      </w:r>
    </w:p>
    <w:p w14:paraId="400B9EFB">
      <w:pPr>
        <w:adjustRightInd w:val="0"/>
        <w:snapToGrid w:val="0"/>
        <w:spacing w:line="360" w:lineRule="auto"/>
        <w:jc w:val="center"/>
        <w:rPr>
          <w:rFonts w:ascii="宋体" w:hAnsi="宋体"/>
          <w:sz w:val="24"/>
        </w:rPr>
      </w:pPr>
      <w:r>
        <w:rPr>
          <w:rFonts w:hint="eastAsia" w:ascii="宋体" w:hAnsi="宋体"/>
          <w:sz w:val="24"/>
        </w:rPr>
        <w:t>表3</w:t>
      </w:r>
      <w:r>
        <w:rPr>
          <w:rFonts w:ascii="宋体" w:hAnsi="宋体"/>
          <w:sz w:val="24"/>
        </w:rPr>
        <w:t>. 按行业分组的需求人数</w:t>
      </w:r>
    </w:p>
    <w:tbl>
      <w:tblPr>
        <w:tblStyle w:val="8"/>
        <w:tblW w:w="6066" w:type="dxa"/>
        <w:jc w:val="center"/>
        <w:tblCellSpacing w:w="0" w:type="dxa"/>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Layout w:type="fixed"/>
        <w:tblCellMar>
          <w:top w:w="0" w:type="dxa"/>
          <w:left w:w="0" w:type="dxa"/>
          <w:bottom w:w="0" w:type="dxa"/>
          <w:right w:w="0" w:type="dxa"/>
        </w:tblCellMar>
      </w:tblPr>
      <w:tblGrid>
        <w:gridCol w:w="3472"/>
        <w:gridCol w:w="1268"/>
        <w:gridCol w:w="1326"/>
      </w:tblGrid>
      <w:tr w14:paraId="4137D7C7">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000000" w:sz="8" w:space="0"/>
              <w:left w:val="single" w:color="auto" w:sz="8" w:space="0"/>
              <w:bottom w:val="single" w:color="000000" w:sz="8" w:space="0"/>
              <w:right w:val="single" w:color="auto" w:sz="8" w:space="0"/>
            </w:tcBorders>
            <w:shd w:val="clear" w:color="auto" w:fill="FFFF99"/>
            <w:tcMar>
              <w:top w:w="15" w:type="dxa"/>
              <w:left w:w="15" w:type="dxa"/>
              <w:bottom w:w="15" w:type="dxa"/>
              <w:right w:w="15" w:type="dxa"/>
            </w:tcMar>
            <w:vAlign w:val="center"/>
          </w:tcPr>
          <w:p w14:paraId="3FB8ED25">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行业</w:t>
            </w:r>
          </w:p>
        </w:tc>
        <w:tc>
          <w:tcPr>
            <w:tcW w:w="1268" w:type="dxa"/>
            <w:tcBorders>
              <w:top w:val="single" w:color="000000" w:sz="8" w:space="0"/>
              <w:left w:val="single" w:color="auto" w:sz="8" w:space="0"/>
              <w:bottom w:val="single" w:color="000000" w:sz="8" w:space="0"/>
              <w:right w:val="single" w:color="000000" w:sz="8" w:space="0"/>
            </w:tcBorders>
            <w:shd w:val="clear" w:color="auto" w:fill="FFFF99"/>
            <w:tcMar>
              <w:top w:w="15" w:type="dxa"/>
              <w:left w:w="15" w:type="dxa"/>
              <w:bottom w:w="15" w:type="dxa"/>
              <w:right w:w="15" w:type="dxa"/>
            </w:tcMar>
            <w:vAlign w:val="center"/>
          </w:tcPr>
          <w:p w14:paraId="0F5B6A02">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第二季度</w:t>
            </w:r>
            <w:r>
              <w:rPr>
                <w:rFonts w:hint="eastAsia" w:ascii="宋体" w:hAnsi="宋体" w:cs="宋体"/>
                <w:kern w:val="0"/>
                <w:sz w:val="24"/>
              </w:rPr>
              <w:t>需求人数 (人)</w:t>
            </w:r>
          </w:p>
        </w:tc>
        <w:tc>
          <w:tcPr>
            <w:tcW w:w="1326" w:type="dxa"/>
            <w:tcBorders>
              <w:top w:val="single" w:color="000000" w:sz="8" w:space="0"/>
              <w:left w:val="single" w:color="000000" w:sz="8" w:space="0"/>
              <w:bottom w:val="single" w:color="000000" w:sz="8" w:space="0"/>
              <w:right w:val="single" w:color="000000" w:sz="8" w:space="0"/>
            </w:tcBorders>
            <w:shd w:val="clear" w:color="auto" w:fill="FFFF99"/>
            <w:tcMar>
              <w:top w:w="15" w:type="dxa"/>
              <w:left w:w="15" w:type="dxa"/>
              <w:bottom w:w="15" w:type="dxa"/>
              <w:right w:w="15" w:type="dxa"/>
            </w:tcMar>
            <w:vAlign w:val="center"/>
          </w:tcPr>
          <w:p w14:paraId="2BFE5E88">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第二季度</w:t>
            </w:r>
            <w:r>
              <w:rPr>
                <w:rFonts w:hint="eastAsia" w:ascii="宋体" w:hAnsi="宋体" w:cs="宋体"/>
                <w:kern w:val="0"/>
                <w:sz w:val="24"/>
              </w:rPr>
              <w:t>需求所占比重 (%)</w:t>
            </w:r>
          </w:p>
        </w:tc>
      </w:tr>
      <w:tr w14:paraId="203A18BF">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000000"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14:paraId="216761B2">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农、林、牧、渔业</w:t>
            </w:r>
          </w:p>
        </w:tc>
        <w:tc>
          <w:tcPr>
            <w:tcW w:w="1268" w:type="dxa"/>
            <w:tcBorders>
              <w:top w:val="single" w:color="000000"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2386C45F">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w:t>
            </w:r>
          </w:p>
        </w:tc>
        <w:tc>
          <w:tcPr>
            <w:tcW w:w="1326"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293241C5">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0.00%</w:t>
            </w:r>
          </w:p>
        </w:tc>
      </w:tr>
      <w:tr w14:paraId="245CC061">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14:paraId="25B70E35">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采矿业</w:t>
            </w:r>
          </w:p>
        </w:tc>
        <w:tc>
          <w:tcPr>
            <w:tcW w:w="1268" w:type="dxa"/>
            <w:tcBorders>
              <w:top w:val="single" w:color="auto"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72316537">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69DEFA90">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0.00%</w:t>
            </w:r>
          </w:p>
        </w:tc>
      </w:tr>
      <w:tr w14:paraId="29A33649">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14:paraId="39830E36">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制造业</w:t>
            </w:r>
          </w:p>
        </w:tc>
        <w:tc>
          <w:tcPr>
            <w:tcW w:w="1268" w:type="dxa"/>
            <w:tcBorders>
              <w:top w:val="single" w:color="auto"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3BC4BF9A">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35819</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5F3F1D6E">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67.66%</w:t>
            </w:r>
          </w:p>
        </w:tc>
      </w:tr>
      <w:tr w14:paraId="70309024">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14:paraId="19D777DD">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电力、燃气及水的生产和供应业</w:t>
            </w:r>
          </w:p>
        </w:tc>
        <w:tc>
          <w:tcPr>
            <w:tcW w:w="1268" w:type="dxa"/>
            <w:tcBorders>
              <w:top w:val="single" w:color="auto"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30D9D4AB">
            <w:pPr>
              <w:keepNext w:val="0"/>
              <w:keepLines w:val="0"/>
              <w:widowControl/>
              <w:suppressLineNumbers w:val="0"/>
              <w:jc w:val="center"/>
              <w:textAlignment w:val="center"/>
              <w:rPr>
                <w:rFonts w:hint="default"/>
                <w:color w:val="auto"/>
                <w:sz w:val="24"/>
                <w:lang w:val="en-US" w:eastAsia="zh-CN"/>
              </w:rPr>
            </w:pPr>
            <w:r>
              <w:rPr>
                <w:rFonts w:hint="eastAsia" w:ascii="宋体" w:hAnsi="宋体" w:eastAsia="宋体" w:cs="宋体"/>
                <w:i w:val="0"/>
                <w:iCs w:val="0"/>
                <w:color w:val="auto"/>
                <w:kern w:val="0"/>
                <w:sz w:val="22"/>
                <w:szCs w:val="22"/>
                <w:u w:val="none"/>
                <w:lang w:val="en-US" w:eastAsia="zh-CN" w:bidi="ar"/>
              </w:rPr>
              <w:t>204</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61E6BB6F">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0.39%</w:t>
            </w:r>
          </w:p>
        </w:tc>
      </w:tr>
      <w:tr w14:paraId="4C305B06">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14:paraId="7DFADE6F">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建筑业</w:t>
            </w:r>
          </w:p>
        </w:tc>
        <w:tc>
          <w:tcPr>
            <w:tcW w:w="1268" w:type="dxa"/>
            <w:tcBorders>
              <w:top w:val="single" w:color="auto"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36F799DA">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965</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3373BD01">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1.82%</w:t>
            </w:r>
          </w:p>
        </w:tc>
      </w:tr>
      <w:tr w14:paraId="4987E63B">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14:paraId="3F943F6C">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交通运输、仓储和邮政业</w:t>
            </w:r>
          </w:p>
        </w:tc>
        <w:tc>
          <w:tcPr>
            <w:tcW w:w="1268" w:type="dxa"/>
            <w:tcBorders>
              <w:top w:val="single" w:color="auto" w:sz="8" w:space="0"/>
              <w:left w:val="single" w:color="auto" w:sz="8" w:space="0"/>
              <w:bottom w:val="single" w:color="auto" w:sz="8" w:space="0"/>
              <w:right w:val="single" w:color="000000" w:sz="8" w:space="0"/>
            </w:tcBorders>
            <w:shd w:val="clear" w:color="auto" w:fill="CCFFFF"/>
            <w:tcMar>
              <w:top w:w="15" w:type="dxa"/>
              <w:left w:w="15" w:type="dxa"/>
              <w:bottom w:w="15" w:type="dxa"/>
              <w:right w:w="15" w:type="dxa"/>
            </w:tcMar>
            <w:vAlign w:val="center"/>
          </w:tcPr>
          <w:p w14:paraId="1787AEA0">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912</w:t>
            </w:r>
          </w:p>
        </w:tc>
        <w:tc>
          <w:tcPr>
            <w:tcW w:w="1326" w:type="dxa"/>
            <w:tcBorders>
              <w:top w:val="single" w:color="auto"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14:paraId="74683DD6">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1.72%</w:t>
            </w:r>
          </w:p>
        </w:tc>
      </w:tr>
      <w:tr w14:paraId="70C57E4A">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000000"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14:paraId="4E0B06DD">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信息传输、计算机服务和软件业</w:t>
            </w:r>
          </w:p>
        </w:tc>
        <w:tc>
          <w:tcPr>
            <w:tcW w:w="1268" w:type="dxa"/>
            <w:tcBorders>
              <w:top w:val="single" w:color="000000"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2AF67C4B">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4739</w:t>
            </w:r>
          </w:p>
        </w:tc>
        <w:tc>
          <w:tcPr>
            <w:tcW w:w="1326"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7C5AD61C">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8.95%</w:t>
            </w:r>
          </w:p>
        </w:tc>
      </w:tr>
      <w:tr w14:paraId="08B55B05">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14:paraId="4EFC6CF0">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批发和零售业</w:t>
            </w:r>
          </w:p>
        </w:tc>
        <w:tc>
          <w:tcPr>
            <w:tcW w:w="1268" w:type="dxa"/>
            <w:tcBorders>
              <w:top w:val="single" w:color="auto"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1CD7DD0D">
            <w:pPr>
              <w:keepNext w:val="0"/>
              <w:keepLines w:val="0"/>
              <w:widowControl/>
              <w:suppressLineNumbers w:val="0"/>
              <w:jc w:val="center"/>
              <w:textAlignment w:val="center"/>
              <w:rPr>
                <w:rFonts w:hint="default"/>
                <w:color w:val="auto"/>
                <w:sz w:val="24"/>
                <w:lang w:val="en-US" w:eastAsia="zh-CN"/>
              </w:rPr>
            </w:pPr>
            <w:r>
              <w:rPr>
                <w:rFonts w:hint="eastAsia" w:ascii="宋体" w:hAnsi="宋体" w:eastAsia="宋体" w:cs="宋体"/>
                <w:i w:val="0"/>
                <w:iCs w:val="0"/>
                <w:color w:val="auto"/>
                <w:kern w:val="0"/>
                <w:sz w:val="22"/>
                <w:szCs w:val="22"/>
                <w:u w:val="none"/>
                <w:lang w:val="en-US" w:eastAsia="zh-CN" w:bidi="ar"/>
              </w:rPr>
              <w:t>3454</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23C46C4A">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6.52%</w:t>
            </w:r>
          </w:p>
        </w:tc>
      </w:tr>
      <w:tr w14:paraId="7C0FDD1B">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14:paraId="3FA6C4B3">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住宿和餐饮业</w:t>
            </w:r>
          </w:p>
        </w:tc>
        <w:tc>
          <w:tcPr>
            <w:tcW w:w="1268" w:type="dxa"/>
            <w:tcBorders>
              <w:top w:val="single" w:color="auto" w:sz="8" w:space="0"/>
              <w:left w:val="single" w:color="auto"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6D4831AF">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2213</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3F802FDA">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4.18%</w:t>
            </w:r>
          </w:p>
        </w:tc>
      </w:tr>
      <w:tr w14:paraId="2777B91B">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14:paraId="37A1CC50">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金融业</w:t>
            </w:r>
          </w:p>
        </w:tc>
        <w:tc>
          <w:tcPr>
            <w:tcW w:w="1268"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329D03CC">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137</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28A13F09">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0.26%</w:t>
            </w:r>
          </w:p>
        </w:tc>
      </w:tr>
      <w:tr w14:paraId="577AA777">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14:paraId="4E490839">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房地产业</w:t>
            </w:r>
          </w:p>
        </w:tc>
        <w:tc>
          <w:tcPr>
            <w:tcW w:w="1268"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0D6C0B44">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95</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1E8C724C">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0.18%</w:t>
            </w:r>
          </w:p>
        </w:tc>
      </w:tr>
      <w:tr w14:paraId="5EB8D9E6">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14:paraId="1E9EF150">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租赁和商务服务业</w:t>
            </w:r>
          </w:p>
        </w:tc>
        <w:tc>
          <w:tcPr>
            <w:tcW w:w="1268"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4E084F33">
            <w:pPr>
              <w:keepNext w:val="0"/>
              <w:keepLines w:val="0"/>
              <w:widowControl/>
              <w:suppressLineNumbers w:val="0"/>
              <w:jc w:val="center"/>
              <w:textAlignment w:val="center"/>
              <w:rPr>
                <w:rFonts w:hint="default"/>
                <w:color w:val="auto"/>
                <w:sz w:val="24"/>
                <w:lang w:val="en-US" w:eastAsia="zh-CN"/>
              </w:rPr>
            </w:pPr>
            <w:r>
              <w:rPr>
                <w:rFonts w:hint="eastAsia" w:ascii="宋体" w:hAnsi="宋体" w:eastAsia="宋体" w:cs="宋体"/>
                <w:i w:val="0"/>
                <w:iCs w:val="0"/>
                <w:color w:val="auto"/>
                <w:kern w:val="0"/>
                <w:sz w:val="22"/>
                <w:szCs w:val="22"/>
                <w:u w:val="none"/>
                <w:lang w:val="en-US" w:eastAsia="zh-CN" w:bidi="ar"/>
              </w:rPr>
              <w:t>116</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29C02947">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0.22%</w:t>
            </w:r>
          </w:p>
        </w:tc>
      </w:tr>
      <w:tr w14:paraId="3834BE1D">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14:paraId="22ACA852">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科学研究、技术服务和地质勘查业</w:t>
            </w:r>
          </w:p>
        </w:tc>
        <w:tc>
          <w:tcPr>
            <w:tcW w:w="1268" w:type="dxa"/>
            <w:tcBorders>
              <w:top w:val="single" w:color="auto"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14:paraId="449E2254">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157</w:t>
            </w:r>
          </w:p>
        </w:tc>
        <w:tc>
          <w:tcPr>
            <w:tcW w:w="1326" w:type="dxa"/>
            <w:tcBorders>
              <w:top w:val="single" w:color="auto"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14:paraId="5FBBF1F6">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0.30%</w:t>
            </w:r>
          </w:p>
        </w:tc>
      </w:tr>
      <w:tr w14:paraId="430DB3FD">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000000"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14:paraId="372BBBAA">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水利、环境和公共设施管理业</w:t>
            </w:r>
          </w:p>
        </w:tc>
        <w:tc>
          <w:tcPr>
            <w:tcW w:w="1268"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14:paraId="6F785128">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187</w:t>
            </w:r>
          </w:p>
        </w:tc>
        <w:tc>
          <w:tcPr>
            <w:tcW w:w="1326"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14:paraId="79FF25A4">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0.35%</w:t>
            </w:r>
          </w:p>
        </w:tc>
      </w:tr>
      <w:tr w14:paraId="06F8E5B3">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000000"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14:paraId="51F2F274">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居民服务和其他服务业</w:t>
            </w:r>
          </w:p>
        </w:tc>
        <w:tc>
          <w:tcPr>
            <w:tcW w:w="126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3C29EDD0">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2700</w:t>
            </w:r>
          </w:p>
        </w:tc>
        <w:tc>
          <w:tcPr>
            <w:tcW w:w="1326"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43F0A0D6">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5.10%</w:t>
            </w:r>
          </w:p>
        </w:tc>
      </w:tr>
      <w:tr w14:paraId="37E2743B">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14:paraId="35EF2F20">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教育</w:t>
            </w:r>
          </w:p>
        </w:tc>
        <w:tc>
          <w:tcPr>
            <w:tcW w:w="1268"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6EECC225">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365</w:t>
            </w:r>
          </w:p>
        </w:tc>
        <w:tc>
          <w:tcPr>
            <w:tcW w:w="1326"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687B6E3B">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0.69%</w:t>
            </w:r>
          </w:p>
        </w:tc>
      </w:tr>
      <w:tr w14:paraId="62BC00D6">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14:paraId="48C19E1F">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卫生、社会保障和社会福利业</w:t>
            </w:r>
          </w:p>
        </w:tc>
        <w:tc>
          <w:tcPr>
            <w:tcW w:w="1268" w:type="dxa"/>
            <w:tcBorders>
              <w:top w:val="single" w:color="auto"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14:paraId="32C2B39C">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407</w:t>
            </w:r>
          </w:p>
        </w:tc>
        <w:tc>
          <w:tcPr>
            <w:tcW w:w="1326" w:type="dxa"/>
            <w:tcBorders>
              <w:top w:val="single" w:color="auto"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14:paraId="5BA45F76">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0.77%</w:t>
            </w:r>
          </w:p>
        </w:tc>
      </w:tr>
      <w:tr w14:paraId="7EAC248E">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000000"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14:paraId="3B6256D8">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文化、体育和娱乐业</w:t>
            </w:r>
          </w:p>
        </w:tc>
        <w:tc>
          <w:tcPr>
            <w:tcW w:w="1268"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14:paraId="79023B8F">
            <w:pPr>
              <w:keepNext w:val="0"/>
              <w:keepLines w:val="0"/>
              <w:widowControl/>
              <w:suppressLineNumbers w:val="0"/>
              <w:jc w:val="center"/>
              <w:textAlignment w:val="center"/>
              <w:rPr>
                <w:rFonts w:hint="default"/>
                <w:color w:val="auto"/>
                <w:sz w:val="24"/>
                <w:lang w:val="en-US" w:eastAsia="zh-CN"/>
              </w:rPr>
            </w:pPr>
            <w:r>
              <w:rPr>
                <w:rFonts w:hint="eastAsia" w:ascii="宋体" w:hAnsi="宋体" w:eastAsia="宋体" w:cs="宋体"/>
                <w:i w:val="0"/>
                <w:iCs w:val="0"/>
                <w:color w:val="auto"/>
                <w:kern w:val="0"/>
                <w:sz w:val="22"/>
                <w:szCs w:val="22"/>
                <w:u w:val="none"/>
                <w:lang w:val="en-US" w:eastAsia="zh-CN" w:bidi="ar"/>
              </w:rPr>
              <w:t>187</w:t>
            </w:r>
          </w:p>
        </w:tc>
        <w:tc>
          <w:tcPr>
            <w:tcW w:w="1326"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14:paraId="120155D5">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0.35%</w:t>
            </w:r>
          </w:p>
        </w:tc>
      </w:tr>
      <w:tr w14:paraId="7F0B90B4">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000000"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14:paraId="7D2E5B19">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公共管理与社会组织</w:t>
            </w:r>
          </w:p>
        </w:tc>
        <w:tc>
          <w:tcPr>
            <w:tcW w:w="126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3C7971FF">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281</w:t>
            </w:r>
          </w:p>
        </w:tc>
        <w:tc>
          <w:tcPr>
            <w:tcW w:w="1326"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450EABBC">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0.53%</w:t>
            </w:r>
          </w:p>
        </w:tc>
      </w:tr>
      <w:tr w14:paraId="7A7EF989">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14:paraId="30E05307">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国际组织</w:t>
            </w:r>
          </w:p>
        </w:tc>
        <w:tc>
          <w:tcPr>
            <w:tcW w:w="1268" w:type="dxa"/>
            <w:tcBorders>
              <w:top w:val="single" w:color="auto"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14:paraId="057A16B5">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w:t>
            </w:r>
          </w:p>
        </w:tc>
        <w:tc>
          <w:tcPr>
            <w:tcW w:w="1326" w:type="dxa"/>
            <w:tcBorders>
              <w:top w:val="single" w:color="auto"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14:paraId="2BFACC69">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0.00%</w:t>
            </w:r>
          </w:p>
        </w:tc>
      </w:tr>
      <w:tr w14:paraId="49180F4A">
        <w:tblPrEx>
          <w:tblBorders>
            <w:top w:val="single" w:color="000000" w:sz="8" w:space="0"/>
            <w:left w:val="single" w:color="000000" w:sz="8" w:space="0"/>
            <w:bottom w:val="single" w:color="000000" w:sz="8" w:space="0"/>
            <w:right w:val="single" w:color="000000" w:sz="8" w:space="0"/>
            <w:insideH w:val="none" w:color="auto" w:sz="0" w:space="0"/>
            <w:insideV w:val="none" w:color="auto" w:sz="0" w:space="0"/>
          </w:tblBorders>
          <w:tblCellMar>
            <w:top w:w="0" w:type="dxa"/>
            <w:left w:w="0" w:type="dxa"/>
            <w:bottom w:w="0" w:type="dxa"/>
            <w:right w:w="0" w:type="dxa"/>
          </w:tblCellMar>
        </w:tblPrEx>
        <w:trPr>
          <w:trHeight w:val="510" w:hRule="atLeast"/>
          <w:tblCellSpacing w:w="0" w:type="dxa"/>
          <w:jc w:val="center"/>
        </w:trPr>
        <w:tc>
          <w:tcPr>
            <w:tcW w:w="3472" w:type="dxa"/>
            <w:tcBorders>
              <w:top w:val="single" w:color="000000" w:sz="8" w:space="0"/>
              <w:left w:val="single" w:color="auto" w:sz="8" w:space="0"/>
              <w:bottom w:val="single" w:color="000000" w:sz="8" w:space="0"/>
              <w:right w:val="single" w:color="auto" w:sz="8" w:space="0"/>
            </w:tcBorders>
            <w:shd w:val="clear" w:color="auto" w:fill="CCFFCC"/>
            <w:tcMar>
              <w:top w:w="15" w:type="dxa"/>
              <w:left w:w="15" w:type="dxa"/>
              <w:bottom w:w="15" w:type="dxa"/>
              <w:right w:w="15" w:type="dxa"/>
            </w:tcMar>
            <w:vAlign w:val="center"/>
          </w:tcPr>
          <w:p w14:paraId="066C55F9">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合计</w:t>
            </w:r>
          </w:p>
        </w:tc>
        <w:tc>
          <w:tcPr>
            <w:tcW w:w="126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5ED38DD6">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52938</w:t>
            </w:r>
          </w:p>
        </w:tc>
        <w:tc>
          <w:tcPr>
            <w:tcW w:w="1326"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48C5EB93">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100.00%</w:t>
            </w:r>
          </w:p>
        </w:tc>
      </w:tr>
    </w:tbl>
    <w:p w14:paraId="51107D0D">
      <w:pPr>
        <w:adjustRightInd w:val="0"/>
        <w:snapToGrid w:val="0"/>
        <w:spacing w:line="360" w:lineRule="auto"/>
        <w:rPr>
          <w:rFonts w:ascii="宋体" w:hAnsi="宋体"/>
          <w:color w:val="FF0000"/>
          <w:sz w:val="24"/>
        </w:rPr>
      </w:pPr>
    </w:p>
    <w:p w14:paraId="47752AB6">
      <w:pPr>
        <w:adjustRightInd w:val="0"/>
        <w:snapToGrid w:val="0"/>
        <w:spacing w:line="360" w:lineRule="auto"/>
        <w:ind w:firstLine="482" w:firstLineChars="200"/>
        <w:rPr>
          <w:rFonts w:ascii="宋体" w:hAnsi="宋体"/>
          <w:b/>
          <w:sz w:val="24"/>
        </w:rPr>
      </w:pPr>
      <w:r>
        <w:rPr>
          <w:rFonts w:hint="eastAsia" w:ascii="宋体" w:hAnsi="宋体"/>
          <w:b/>
          <w:sz w:val="24"/>
        </w:rPr>
        <w:t>（三）</w:t>
      </w:r>
      <w:r>
        <w:rPr>
          <w:rFonts w:ascii="宋体" w:hAnsi="宋体"/>
          <w:b/>
          <w:sz w:val="24"/>
        </w:rPr>
        <w:t>用人单位需求情况</w:t>
      </w:r>
    </w:p>
    <w:p w14:paraId="2DFF5B74">
      <w:pPr>
        <w:adjustRightInd w:val="0"/>
        <w:snapToGrid w:val="0"/>
        <w:spacing w:line="360" w:lineRule="auto"/>
        <w:ind w:firstLine="480" w:firstLineChars="200"/>
        <w:rPr>
          <w:rFonts w:ascii="宋体" w:hAnsi="宋体"/>
          <w:color w:val="FF0000"/>
          <w:sz w:val="24"/>
        </w:rPr>
      </w:pPr>
      <w:r>
        <w:rPr>
          <w:rFonts w:hint="eastAsia" w:ascii="宋体" w:hAnsi="Verdana" w:cs="宋体"/>
          <w:kern w:val="0"/>
          <w:sz w:val="24"/>
        </w:rPr>
        <w:t>按不同的经济类型单位需求情况看，</w:t>
      </w:r>
      <w:r>
        <w:rPr>
          <w:rFonts w:hint="eastAsia" w:ascii="宋体" w:hAnsi="Verdana" w:cs="宋体"/>
          <w:kern w:val="0"/>
          <w:sz w:val="24"/>
          <w:lang w:eastAsia="zh-CN"/>
        </w:rPr>
        <w:t>第二季度</w:t>
      </w:r>
      <w:r>
        <w:rPr>
          <w:rFonts w:hint="eastAsia" w:ascii="宋体" w:hAnsi="Verdana" w:cs="宋体"/>
          <w:kern w:val="0"/>
          <w:sz w:val="24"/>
        </w:rPr>
        <w:t>企业需求人数为</w:t>
      </w:r>
      <w:r>
        <w:rPr>
          <w:rFonts w:hint="eastAsia" w:ascii="宋体" w:hAnsi="Verdana" w:cs="宋体"/>
          <w:kern w:val="0"/>
          <w:sz w:val="24"/>
          <w:lang w:val="en-US" w:eastAsia="zh-CN"/>
        </w:rPr>
        <w:t>52788</w:t>
      </w:r>
      <w:r>
        <w:rPr>
          <w:rFonts w:hint="eastAsia" w:ascii="宋体" w:hAnsi="Verdana" w:cs="宋体"/>
          <w:kern w:val="0"/>
          <w:sz w:val="24"/>
        </w:rPr>
        <w:t>人。企业中需求人数所占比重最多的是内资企业，共</w:t>
      </w:r>
      <w:r>
        <w:rPr>
          <w:rFonts w:hint="eastAsia" w:ascii="宋体" w:hAnsi="Verdana" w:cs="宋体"/>
          <w:kern w:val="0"/>
          <w:sz w:val="24"/>
          <w:lang w:val="en-US" w:eastAsia="zh-CN"/>
        </w:rPr>
        <w:t>47040</w:t>
      </w:r>
      <w:r>
        <w:rPr>
          <w:rFonts w:hint="eastAsia" w:ascii="宋体" w:hAnsi="Verdana" w:cs="宋体"/>
          <w:kern w:val="0"/>
          <w:sz w:val="24"/>
        </w:rPr>
        <w:t>人，占企业总数的</w:t>
      </w:r>
      <w:r>
        <w:rPr>
          <w:rFonts w:hint="eastAsia" w:ascii="宋体" w:hAnsi="Verdana" w:cs="宋体"/>
          <w:kern w:val="0"/>
          <w:sz w:val="24"/>
          <w:lang w:val="en-US" w:eastAsia="zh-CN"/>
        </w:rPr>
        <w:t>88.86</w:t>
      </w:r>
      <w:r>
        <w:rPr>
          <w:rFonts w:hint="eastAsia" w:ascii="宋体" w:hAnsi="Verdana" w:cs="宋体"/>
          <w:kern w:val="0"/>
          <w:sz w:val="24"/>
        </w:rPr>
        <w:t>%，内资企业中用工需求主要集中在有限责任公司、股份有限公司</w:t>
      </w:r>
      <w:r>
        <w:rPr>
          <w:rFonts w:hint="eastAsia" w:ascii="宋体" w:hAnsi="Verdana" w:cs="宋体"/>
          <w:kern w:val="0"/>
          <w:sz w:val="24"/>
          <w:lang w:eastAsia="zh-CN"/>
        </w:rPr>
        <w:t>、</w:t>
      </w:r>
      <w:r>
        <w:rPr>
          <w:rFonts w:hint="eastAsia" w:ascii="宋体" w:hAnsi="Verdana" w:cs="宋体"/>
          <w:kern w:val="0"/>
          <w:sz w:val="24"/>
          <w:lang w:val="en-US" w:eastAsia="zh-CN"/>
        </w:rPr>
        <w:t>其他</w:t>
      </w:r>
      <w:r>
        <w:rPr>
          <w:rFonts w:hint="eastAsia" w:ascii="宋体" w:hAnsi="Verdana" w:cs="宋体"/>
          <w:kern w:val="0"/>
          <w:sz w:val="24"/>
        </w:rPr>
        <w:t>企业。</w:t>
      </w:r>
    </w:p>
    <w:p w14:paraId="13C19F0F">
      <w:pPr>
        <w:widowControl/>
        <w:adjustRightInd w:val="0"/>
        <w:snapToGrid w:val="0"/>
        <w:spacing w:beforeAutospacing="1" w:afterAutospacing="1" w:line="360" w:lineRule="auto"/>
        <w:jc w:val="center"/>
        <w:rPr>
          <w:rFonts w:ascii="宋体" w:hAnsi="宋体" w:cs="宋体"/>
          <w:kern w:val="0"/>
          <w:sz w:val="24"/>
        </w:rPr>
      </w:pPr>
      <w:r>
        <w:rPr>
          <w:rFonts w:hint="eastAsia" w:ascii="宋体" w:hAnsi="宋体" w:cs="宋体"/>
          <w:kern w:val="0"/>
          <w:sz w:val="24"/>
        </w:rPr>
        <w:t>表4. 按经济类型分组的需求人数</w:t>
      </w:r>
    </w:p>
    <w:tbl>
      <w:tblPr>
        <w:tblStyle w:val="8"/>
        <w:tblW w:w="6185" w:type="dxa"/>
        <w:jc w:val="center"/>
        <w:tblCellSpacing w:w="0" w:type="dxa"/>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Layout w:type="fixed"/>
        <w:tblCellMar>
          <w:top w:w="0" w:type="dxa"/>
          <w:left w:w="0" w:type="dxa"/>
          <w:bottom w:w="0" w:type="dxa"/>
          <w:right w:w="0" w:type="dxa"/>
        </w:tblCellMar>
      </w:tblPr>
      <w:tblGrid>
        <w:gridCol w:w="3122"/>
        <w:gridCol w:w="1448"/>
        <w:gridCol w:w="1615"/>
      </w:tblGrid>
      <w:tr w14:paraId="7457733C">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FFFF99"/>
            <w:tcMar>
              <w:top w:w="15" w:type="dxa"/>
              <w:left w:w="15" w:type="dxa"/>
              <w:bottom w:w="15" w:type="dxa"/>
              <w:right w:w="15" w:type="dxa"/>
            </w:tcMar>
            <w:vAlign w:val="center"/>
          </w:tcPr>
          <w:p w14:paraId="5D03ADF2">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经济类型</w:t>
            </w:r>
          </w:p>
        </w:tc>
        <w:tc>
          <w:tcPr>
            <w:tcW w:w="1448" w:type="dxa"/>
            <w:tcBorders>
              <w:top w:val="single" w:color="000000" w:sz="8" w:space="0"/>
              <w:left w:val="single" w:color="000000" w:sz="8" w:space="0"/>
              <w:bottom w:val="single" w:color="000000" w:sz="8" w:space="0"/>
              <w:right w:val="single" w:color="000000" w:sz="8" w:space="0"/>
            </w:tcBorders>
            <w:shd w:val="clear" w:color="auto" w:fill="FFFF99"/>
            <w:tcMar>
              <w:top w:w="15" w:type="dxa"/>
              <w:left w:w="15" w:type="dxa"/>
              <w:bottom w:w="15" w:type="dxa"/>
              <w:right w:w="15" w:type="dxa"/>
            </w:tcMar>
            <w:vAlign w:val="center"/>
          </w:tcPr>
          <w:p w14:paraId="68F7B3EA">
            <w:pPr>
              <w:spacing w:line="360" w:lineRule="auto"/>
              <w:jc w:val="center"/>
              <w:rPr>
                <w:rFonts w:hint="eastAsia" w:eastAsia="宋体"/>
                <w:sz w:val="24"/>
                <w:lang w:eastAsia="zh-CN"/>
              </w:rPr>
            </w:pPr>
            <w:r>
              <w:rPr>
                <w:rFonts w:hint="eastAsia"/>
                <w:sz w:val="24"/>
                <w:lang w:eastAsia="zh-CN"/>
              </w:rPr>
              <w:t>第二季度</w:t>
            </w:r>
          </w:p>
          <w:p w14:paraId="70F9776B">
            <w:pPr>
              <w:spacing w:line="360" w:lineRule="auto"/>
              <w:jc w:val="center"/>
              <w:rPr>
                <w:rFonts w:ascii="宋体" w:hAnsi="宋体" w:cs="宋体"/>
                <w:sz w:val="24"/>
              </w:rPr>
            </w:pPr>
            <w:r>
              <w:rPr>
                <w:rFonts w:hint="eastAsia"/>
                <w:sz w:val="24"/>
              </w:rPr>
              <w:t>需求人数 (人)</w:t>
            </w:r>
          </w:p>
        </w:tc>
        <w:tc>
          <w:tcPr>
            <w:tcW w:w="1615" w:type="dxa"/>
            <w:tcBorders>
              <w:top w:val="single" w:color="000000" w:sz="8" w:space="0"/>
              <w:left w:val="single" w:color="000000" w:sz="8" w:space="0"/>
              <w:bottom w:val="single" w:color="000000" w:sz="8" w:space="0"/>
              <w:right w:val="single" w:color="000000" w:sz="8" w:space="0"/>
            </w:tcBorders>
            <w:shd w:val="clear" w:color="auto" w:fill="FFFF99"/>
            <w:tcMar>
              <w:top w:w="15" w:type="dxa"/>
              <w:left w:w="15" w:type="dxa"/>
              <w:bottom w:w="15" w:type="dxa"/>
              <w:right w:w="15" w:type="dxa"/>
            </w:tcMar>
            <w:vAlign w:val="center"/>
          </w:tcPr>
          <w:p w14:paraId="75C1D11A">
            <w:pPr>
              <w:spacing w:line="360" w:lineRule="auto"/>
              <w:jc w:val="center"/>
              <w:rPr>
                <w:rFonts w:ascii="宋体" w:hAnsi="宋体" w:cs="宋体"/>
                <w:sz w:val="24"/>
              </w:rPr>
            </w:pPr>
            <w:r>
              <w:rPr>
                <w:rFonts w:hint="eastAsia"/>
                <w:sz w:val="24"/>
                <w:lang w:eastAsia="zh-CN"/>
              </w:rPr>
              <w:t>第二季度</w:t>
            </w:r>
            <w:r>
              <w:rPr>
                <w:rFonts w:hint="eastAsia"/>
                <w:sz w:val="24"/>
              </w:rPr>
              <w:t>需求所占比重 (%)</w:t>
            </w:r>
          </w:p>
        </w:tc>
      </w:tr>
      <w:tr w14:paraId="27B2E2B9">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14:paraId="5D1EF928">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607F6422">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 xml:space="preserve">52788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0CE70867">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99.72%</w:t>
            </w:r>
          </w:p>
        </w:tc>
      </w:tr>
      <w:tr w14:paraId="3922B97E">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14:paraId="43F4E147">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其中：内资企业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737AB49D">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 xml:space="preserve">47040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4ADB8E10">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88.86%</w:t>
            </w:r>
          </w:p>
        </w:tc>
      </w:tr>
      <w:tr w14:paraId="1A26BC32">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14:paraId="4A623B95">
            <w:pPr>
              <w:widowControl/>
              <w:spacing w:before="100" w:beforeAutospacing="1" w:after="100" w:afterAutospacing="1" w:line="360" w:lineRule="auto"/>
              <w:ind w:firstLine="1100"/>
              <w:jc w:val="both"/>
              <w:rPr>
                <w:rFonts w:ascii="宋体" w:hAnsi="宋体" w:cs="宋体"/>
                <w:kern w:val="0"/>
                <w:sz w:val="24"/>
              </w:rPr>
            </w:pPr>
            <w:r>
              <w:rPr>
                <w:rFonts w:hint="eastAsia" w:ascii="宋体" w:hAnsi="宋体" w:cs="宋体"/>
                <w:kern w:val="0"/>
                <w:sz w:val="24"/>
              </w:rPr>
              <w:t>国有企业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3677762E">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 xml:space="preserve">1163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55D7A1EC">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2.20%</w:t>
            </w:r>
          </w:p>
        </w:tc>
      </w:tr>
      <w:tr w14:paraId="40E9A8BA">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auto" w:sz="8" w:space="0"/>
              <w:right w:val="single" w:color="000000" w:sz="8" w:space="0"/>
            </w:tcBorders>
            <w:shd w:val="clear" w:color="auto" w:fill="CCFFCC"/>
            <w:tcMar>
              <w:top w:w="15" w:type="dxa"/>
              <w:left w:w="15" w:type="dxa"/>
              <w:bottom w:w="15" w:type="dxa"/>
              <w:right w:w="15" w:type="dxa"/>
            </w:tcMar>
            <w:vAlign w:val="center"/>
          </w:tcPr>
          <w:p w14:paraId="6E6EEC95">
            <w:pPr>
              <w:widowControl/>
              <w:spacing w:before="100" w:beforeAutospacing="1" w:after="100" w:afterAutospacing="1" w:line="360" w:lineRule="auto"/>
              <w:ind w:firstLine="1100"/>
              <w:jc w:val="both"/>
              <w:rPr>
                <w:rFonts w:ascii="宋体" w:hAnsi="宋体" w:cs="宋体"/>
                <w:kern w:val="0"/>
                <w:sz w:val="24"/>
              </w:rPr>
            </w:pPr>
            <w:r>
              <w:rPr>
                <w:rFonts w:hint="eastAsia" w:ascii="宋体" w:hAnsi="宋体" w:cs="宋体"/>
                <w:kern w:val="0"/>
                <w:sz w:val="24"/>
              </w:rPr>
              <w:t>集体企业</w:t>
            </w:r>
          </w:p>
        </w:tc>
        <w:tc>
          <w:tcPr>
            <w:tcW w:w="1448"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14:paraId="471C0841">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 xml:space="preserve">383 </w:t>
            </w:r>
          </w:p>
        </w:tc>
        <w:tc>
          <w:tcPr>
            <w:tcW w:w="1615"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14:paraId="2DF11C5A">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0.72%</w:t>
            </w:r>
          </w:p>
        </w:tc>
      </w:tr>
      <w:tr w14:paraId="64CBA9B4">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14:paraId="34169B1A">
            <w:pPr>
              <w:widowControl/>
              <w:spacing w:before="100" w:beforeAutospacing="1" w:after="100" w:afterAutospacing="1" w:line="360" w:lineRule="auto"/>
              <w:ind w:firstLine="1100"/>
              <w:jc w:val="both"/>
              <w:rPr>
                <w:rFonts w:ascii="宋体" w:hAnsi="宋体" w:cs="宋体"/>
                <w:kern w:val="0"/>
                <w:sz w:val="24"/>
              </w:rPr>
            </w:pPr>
            <w:r>
              <w:rPr>
                <w:rFonts w:hint="eastAsia" w:ascii="宋体" w:hAnsi="宋体" w:cs="宋体"/>
                <w:kern w:val="0"/>
                <w:sz w:val="24"/>
              </w:rPr>
              <w:t>股份合作企业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3BCE3EA6">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 xml:space="preserve">4850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4C641C1D">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9.16%</w:t>
            </w:r>
          </w:p>
        </w:tc>
      </w:tr>
      <w:tr w14:paraId="0121EE25">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auto"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14:paraId="400DEA12">
            <w:pPr>
              <w:widowControl/>
              <w:spacing w:before="100" w:beforeAutospacing="1" w:after="100" w:afterAutospacing="1" w:line="360" w:lineRule="auto"/>
              <w:ind w:firstLine="1100"/>
              <w:jc w:val="both"/>
              <w:rPr>
                <w:rFonts w:ascii="宋体" w:hAnsi="宋体" w:cs="宋体"/>
                <w:kern w:val="0"/>
                <w:sz w:val="24"/>
              </w:rPr>
            </w:pPr>
            <w:r>
              <w:rPr>
                <w:rFonts w:hint="eastAsia" w:ascii="宋体" w:hAnsi="宋体" w:cs="宋体"/>
                <w:kern w:val="0"/>
                <w:sz w:val="24"/>
              </w:rPr>
              <w:t>联营企业</w:t>
            </w:r>
          </w:p>
        </w:tc>
        <w:tc>
          <w:tcPr>
            <w:tcW w:w="1448"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342764C6">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 xml:space="preserve">620 </w:t>
            </w:r>
          </w:p>
        </w:tc>
        <w:tc>
          <w:tcPr>
            <w:tcW w:w="1615"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37C873F8">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1.17%</w:t>
            </w:r>
          </w:p>
        </w:tc>
      </w:tr>
      <w:tr w14:paraId="44482D6D">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auto"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14:paraId="498D7E5F">
            <w:pPr>
              <w:widowControl/>
              <w:spacing w:before="100" w:beforeAutospacing="1" w:after="100" w:afterAutospacing="1" w:line="360" w:lineRule="auto"/>
              <w:ind w:firstLine="1100"/>
              <w:jc w:val="both"/>
              <w:rPr>
                <w:rFonts w:ascii="宋体" w:hAnsi="宋体" w:cs="宋体"/>
                <w:kern w:val="0"/>
                <w:sz w:val="24"/>
              </w:rPr>
            </w:pPr>
            <w:r>
              <w:rPr>
                <w:rFonts w:hint="eastAsia" w:ascii="宋体" w:hAnsi="宋体" w:cs="宋体"/>
                <w:kern w:val="0"/>
                <w:sz w:val="24"/>
              </w:rPr>
              <w:t>有限责任公司</w:t>
            </w:r>
          </w:p>
        </w:tc>
        <w:tc>
          <w:tcPr>
            <w:tcW w:w="1448"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786CA67C">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 xml:space="preserve">20379 </w:t>
            </w:r>
          </w:p>
        </w:tc>
        <w:tc>
          <w:tcPr>
            <w:tcW w:w="1615"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51BD6A89">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38.50%</w:t>
            </w:r>
          </w:p>
        </w:tc>
      </w:tr>
      <w:tr w14:paraId="273E27A4">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14:paraId="36FF4493">
            <w:pPr>
              <w:widowControl/>
              <w:spacing w:before="100" w:beforeAutospacing="1" w:after="100" w:afterAutospacing="1" w:line="360" w:lineRule="auto"/>
              <w:ind w:firstLine="1100"/>
              <w:jc w:val="both"/>
              <w:rPr>
                <w:rFonts w:ascii="宋体" w:hAnsi="宋体" w:cs="宋体"/>
                <w:kern w:val="0"/>
                <w:sz w:val="24"/>
              </w:rPr>
            </w:pPr>
            <w:r>
              <w:rPr>
                <w:rFonts w:hint="eastAsia" w:ascii="宋体" w:hAnsi="宋体" w:cs="宋体"/>
                <w:kern w:val="0"/>
                <w:sz w:val="24"/>
              </w:rPr>
              <w:t>股份有限公司</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335DFAB7">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 xml:space="preserve">9727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03B47B7B">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18.37%</w:t>
            </w:r>
          </w:p>
        </w:tc>
      </w:tr>
      <w:tr w14:paraId="4B62F674">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14:paraId="0F9A6D01">
            <w:pPr>
              <w:widowControl/>
              <w:spacing w:before="100" w:beforeAutospacing="1" w:after="100" w:afterAutospacing="1" w:line="360" w:lineRule="auto"/>
              <w:ind w:firstLine="1100"/>
              <w:jc w:val="both"/>
              <w:rPr>
                <w:rFonts w:ascii="宋体" w:hAnsi="宋体" w:cs="宋体"/>
                <w:kern w:val="0"/>
                <w:sz w:val="24"/>
              </w:rPr>
            </w:pPr>
            <w:r>
              <w:rPr>
                <w:rFonts w:hint="eastAsia" w:ascii="宋体" w:hAnsi="宋体" w:cs="宋体"/>
                <w:kern w:val="0"/>
                <w:sz w:val="24"/>
              </w:rPr>
              <w:t>私营企业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4F023FB2">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 xml:space="preserve">4422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12816B4E">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8.35%</w:t>
            </w:r>
          </w:p>
        </w:tc>
      </w:tr>
      <w:tr w14:paraId="5366F6BE">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14:paraId="65ADCD03">
            <w:pPr>
              <w:widowControl/>
              <w:spacing w:before="100" w:beforeAutospacing="1" w:after="100" w:afterAutospacing="1" w:line="360" w:lineRule="auto"/>
              <w:ind w:firstLine="1100"/>
              <w:jc w:val="both"/>
              <w:rPr>
                <w:rFonts w:ascii="宋体" w:hAnsi="宋体" w:cs="宋体"/>
                <w:kern w:val="0"/>
                <w:sz w:val="24"/>
              </w:rPr>
            </w:pPr>
            <w:r>
              <w:rPr>
                <w:rFonts w:hint="eastAsia" w:ascii="宋体" w:hAnsi="宋体" w:cs="宋体"/>
                <w:kern w:val="0"/>
                <w:sz w:val="24"/>
              </w:rPr>
              <w:t>其它企业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5207D20F">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 xml:space="preserve">5496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769CEC7A">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10.38%</w:t>
            </w:r>
          </w:p>
        </w:tc>
      </w:tr>
      <w:tr w14:paraId="5FE8577E">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14:paraId="79EA1AB1">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港、澳、台投资企业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26B15075">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 xml:space="preserve">2377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68B31585">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4.49%</w:t>
            </w:r>
          </w:p>
        </w:tc>
      </w:tr>
      <w:tr w14:paraId="0BF9BCDA">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14:paraId="6DC5002D">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外商投资企业</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093EFEC7">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 xml:space="preserve">1049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73A9B65C">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1.98%</w:t>
            </w:r>
          </w:p>
        </w:tc>
      </w:tr>
      <w:tr w14:paraId="68AC1995">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auto" w:sz="8" w:space="0"/>
              <w:right w:val="single" w:color="000000" w:sz="8" w:space="0"/>
            </w:tcBorders>
            <w:shd w:val="clear" w:color="auto" w:fill="CCFFCC"/>
            <w:tcMar>
              <w:top w:w="15" w:type="dxa"/>
              <w:left w:w="15" w:type="dxa"/>
              <w:bottom w:w="15" w:type="dxa"/>
              <w:right w:w="15" w:type="dxa"/>
            </w:tcMar>
            <w:vAlign w:val="center"/>
          </w:tcPr>
          <w:p w14:paraId="3D40B5D0">
            <w:pPr>
              <w:widowControl/>
              <w:spacing w:before="100" w:beforeAutospacing="1" w:after="100" w:afterAutospacing="1" w:line="360" w:lineRule="auto"/>
              <w:ind w:firstLine="1231" w:firstLineChars="513"/>
              <w:jc w:val="both"/>
              <w:rPr>
                <w:rFonts w:ascii="宋体" w:hAnsi="宋体" w:cs="宋体"/>
                <w:kern w:val="0"/>
                <w:sz w:val="24"/>
              </w:rPr>
            </w:pPr>
            <w:r>
              <w:rPr>
                <w:rFonts w:hint="eastAsia" w:ascii="宋体" w:hAnsi="宋体" w:cs="宋体"/>
                <w:kern w:val="0"/>
                <w:sz w:val="24"/>
              </w:rPr>
              <w:t>个体经营</w:t>
            </w:r>
          </w:p>
        </w:tc>
        <w:tc>
          <w:tcPr>
            <w:tcW w:w="1448"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14:paraId="409C5E2C">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 xml:space="preserve">2322 </w:t>
            </w:r>
          </w:p>
        </w:tc>
        <w:tc>
          <w:tcPr>
            <w:tcW w:w="1615"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14:paraId="76B1B554">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4.39%</w:t>
            </w:r>
          </w:p>
        </w:tc>
      </w:tr>
      <w:tr w14:paraId="1A0E6F8E">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14:paraId="2373E0DA">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事业</w:t>
            </w:r>
          </w:p>
        </w:tc>
        <w:tc>
          <w:tcPr>
            <w:tcW w:w="1448"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088BB1BD">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 xml:space="preserve">0 </w:t>
            </w:r>
          </w:p>
        </w:tc>
        <w:tc>
          <w:tcPr>
            <w:tcW w:w="1615" w:type="dxa"/>
            <w:tcBorders>
              <w:top w:val="single" w:color="auto"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30FABFE9">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0.00%</w:t>
            </w:r>
          </w:p>
        </w:tc>
      </w:tr>
      <w:tr w14:paraId="3B125B2D">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auto" w:sz="8" w:space="0"/>
              <w:right w:val="single" w:color="000000" w:sz="8" w:space="0"/>
            </w:tcBorders>
            <w:shd w:val="clear" w:color="auto" w:fill="CCFFCC"/>
            <w:tcMar>
              <w:top w:w="15" w:type="dxa"/>
              <w:left w:w="15" w:type="dxa"/>
              <w:bottom w:w="15" w:type="dxa"/>
              <w:right w:w="15" w:type="dxa"/>
            </w:tcMar>
            <w:vAlign w:val="center"/>
          </w:tcPr>
          <w:p w14:paraId="20E74462">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机关</w:t>
            </w:r>
          </w:p>
        </w:tc>
        <w:tc>
          <w:tcPr>
            <w:tcW w:w="1448"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14:paraId="5EEB3DA7">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 xml:space="preserve">0 </w:t>
            </w:r>
          </w:p>
        </w:tc>
        <w:tc>
          <w:tcPr>
            <w:tcW w:w="1615" w:type="dxa"/>
            <w:tcBorders>
              <w:top w:val="single" w:color="000000" w:sz="8" w:space="0"/>
              <w:left w:val="single" w:color="000000" w:sz="8" w:space="0"/>
              <w:bottom w:val="single" w:color="auto" w:sz="8" w:space="0"/>
              <w:right w:val="single" w:color="000000" w:sz="8" w:space="0"/>
            </w:tcBorders>
            <w:shd w:val="clear" w:color="auto" w:fill="CCFFFF"/>
            <w:tcMar>
              <w:top w:w="15" w:type="dxa"/>
              <w:left w:w="15" w:type="dxa"/>
              <w:bottom w:w="15" w:type="dxa"/>
              <w:right w:w="15" w:type="dxa"/>
            </w:tcMar>
            <w:vAlign w:val="center"/>
          </w:tcPr>
          <w:p w14:paraId="64D35CA4">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0.00%</w:t>
            </w:r>
          </w:p>
        </w:tc>
      </w:tr>
      <w:tr w14:paraId="6AC62355">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000000" w:sz="8" w:space="0"/>
              <w:right w:val="single" w:color="000000" w:sz="8" w:space="0"/>
            </w:tcBorders>
            <w:shd w:val="clear" w:color="auto" w:fill="CCFFCC"/>
            <w:tcMar>
              <w:top w:w="15" w:type="dxa"/>
              <w:left w:w="15" w:type="dxa"/>
              <w:bottom w:w="15" w:type="dxa"/>
              <w:right w:w="15" w:type="dxa"/>
            </w:tcMar>
            <w:vAlign w:val="center"/>
          </w:tcPr>
          <w:p w14:paraId="0880DF60">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其他</w:t>
            </w:r>
          </w:p>
        </w:tc>
        <w:tc>
          <w:tcPr>
            <w:tcW w:w="1448"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2348BC77">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 xml:space="preserve">150 </w:t>
            </w:r>
          </w:p>
        </w:tc>
        <w:tc>
          <w:tcPr>
            <w:tcW w:w="1615" w:type="dxa"/>
            <w:tcBorders>
              <w:top w:val="single" w:color="000000" w:sz="8" w:space="0"/>
              <w:left w:val="single" w:color="000000" w:sz="8" w:space="0"/>
              <w:bottom w:val="single" w:color="000000" w:sz="8" w:space="0"/>
              <w:right w:val="single" w:color="000000" w:sz="8" w:space="0"/>
            </w:tcBorders>
            <w:shd w:val="clear" w:color="auto" w:fill="CCFFFF"/>
            <w:tcMar>
              <w:top w:w="15" w:type="dxa"/>
              <w:left w:w="15" w:type="dxa"/>
              <w:bottom w:w="15" w:type="dxa"/>
              <w:right w:w="15" w:type="dxa"/>
            </w:tcMar>
            <w:vAlign w:val="center"/>
          </w:tcPr>
          <w:p w14:paraId="7EFD40F6">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0.28%</w:t>
            </w:r>
          </w:p>
        </w:tc>
      </w:tr>
      <w:tr w14:paraId="26FB4242">
        <w:tblPrEx>
          <w:tblBorders>
            <w:top w:val="single" w:color="FFFFFF" w:sz="8" w:space="0"/>
            <w:left w:val="single" w:color="FFFFFF" w:sz="8" w:space="0"/>
            <w:bottom w:val="single" w:color="FFFFFF" w:sz="8" w:space="0"/>
            <w:right w:val="single" w:color="FFFFFF"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3122" w:type="dxa"/>
            <w:tcBorders>
              <w:top w:val="single" w:color="000000" w:sz="8" w:space="0"/>
              <w:left w:val="single" w:color="000000" w:sz="8" w:space="0"/>
              <w:bottom w:val="single" w:color="FFFFFF" w:sz="8" w:space="0"/>
              <w:right w:val="single" w:color="000000" w:sz="8" w:space="0"/>
            </w:tcBorders>
            <w:shd w:val="clear" w:color="auto" w:fill="CCFFCC"/>
            <w:tcMar>
              <w:top w:w="15" w:type="dxa"/>
              <w:left w:w="15" w:type="dxa"/>
              <w:bottom w:w="15" w:type="dxa"/>
              <w:right w:w="15" w:type="dxa"/>
            </w:tcMar>
            <w:vAlign w:val="center"/>
          </w:tcPr>
          <w:p w14:paraId="4E4ECD99">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合计</w:t>
            </w:r>
          </w:p>
        </w:tc>
        <w:tc>
          <w:tcPr>
            <w:tcW w:w="1448" w:type="dxa"/>
            <w:tcBorders>
              <w:top w:val="single" w:color="000000" w:sz="8" w:space="0"/>
              <w:left w:val="single" w:color="000000" w:sz="8" w:space="0"/>
              <w:bottom w:val="single" w:color="FFFFFF" w:sz="8" w:space="0"/>
              <w:right w:val="single" w:color="000000" w:sz="8" w:space="0"/>
            </w:tcBorders>
            <w:shd w:val="clear" w:color="auto" w:fill="CCFFFF"/>
            <w:tcMar>
              <w:top w:w="15" w:type="dxa"/>
              <w:left w:w="15" w:type="dxa"/>
              <w:bottom w:w="15" w:type="dxa"/>
              <w:right w:w="15" w:type="dxa"/>
            </w:tcMar>
            <w:vAlign w:val="center"/>
          </w:tcPr>
          <w:p w14:paraId="016B1FDC">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52938</w:t>
            </w:r>
          </w:p>
        </w:tc>
        <w:tc>
          <w:tcPr>
            <w:tcW w:w="1615" w:type="dxa"/>
            <w:tcBorders>
              <w:top w:val="single" w:color="000000" w:sz="8" w:space="0"/>
              <w:left w:val="single" w:color="000000" w:sz="8" w:space="0"/>
              <w:bottom w:val="single" w:color="FFFFFF" w:sz="8" w:space="0"/>
              <w:right w:val="single" w:color="000000" w:sz="8" w:space="0"/>
            </w:tcBorders>
            <w:shd w:val="clear" w:color="auto" w:fill="CCFFFF"/>
            <w:tcMar>
              <w:top w:w="15" w:type="dxa"/>
              <w:left w:w="15" w:type="dxa"/>
              <w:bottom w:w="15" w:type="dxa"/>
              <w:right w:w="15" w:type="dxa"/>
            </w:tcMar>
            <w:vAlign w:val="center"/>
          </w:tcPr>
          <w:p w14:paraId="4CD9338A">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4"/>
                <w:szCs w:val="24"/>
                <w:u w:val="none"/>
                <w:lang w:val="en-US" w:eastAsia="zh-CN" w:bidi="ar"/>
              </w:rPr>
              <w:t>100.00%</w:t>
            </w:r>
          </w:p>
        </w:tc>
      </w:tr>
    </w:tbl>
    <w:p w14:paraId="44347A9D">
      <w:pPr>
        <w:adjustRightInd w:val="0"/>
        <w:snapToGrid w:val="0"/>
        <w:spacing w:line="360" w:lineRule="auto"/>
        <w:ind w:firstLine="480" w:firstLineChars="200"/>
        <w:rPr>
          <w:rFonts w:ascii="宋体" w:hAnsi="宋体"/>
          <w:color w:val="FF0000"/>
          <w:sz w:val="24"/>
        </w:rPr>
      </w:pPr>
    </w:p>
    <w:p w14:paraId="5EFD28EC">
      <w:pPr>
        <w:adjustRightInd w:val="0"/>
        <w:snapToGrid w:val="0"/>
        <w:spacing w:line="360" w:lineRule="auto"/>
        <w:ind w:firstLine="482" w:firstLineChars="200"/>
        <w:rPr>
          <w:rFonts w:ascii="宋体" w:hAnsi="宋体"/>
          <w:b/>
          <w:sz w:val="24"/>
        </w:rPr>
      </w:pPr>
      <w:r>
        <w:rPr>
          <w:rFonts w:hint="eastAsia" w:ascii="宋体" w:hAnsi="宋体"/>
          <w:b/>
          <w:sz w:val="24"/>
        </w:rPr>
        <w:t>（四）按</w:t>
      </w:r>
      <w:r>
        <w:rPr>
          <w:rFonts w:ascii="宋体" w:hAnsi="宋体"/>
          <w:b/>
          <w:sz w:val="24"/>
        </w:rPr>
        <w:t>职业供求情况分析</w:t>
      </w:r>
    </w:p>
    <w:p w14:paraId="4CB0F2B4">
      <w:pPr>
        <w:adjustRightInd w:val="0"/>
        <w:snapToGrid w:val="0"/>
        <w:spacing w:line="360" w:lineRule="auto"/>
        <w:ind w:firstLine="420"/>
        <w:rPr>
          <w:rFonts w:ascii="宋体" w:hAnsi="宋体"/>
          <w:sz w:val="24"/>
        </w:rPr>
      </w:pPr>
      <w:r>
        <w:rPr>
          <w:rFonts w:hint="eastAsia" w:ascii="宋体" w:hAnsi="宋体" w:cs="宋体"/>
          <w:kern w:val="0"/>
          <w:sz w:val="24"/>
        </w:rPr>
        <w:t>从职业供求情况来看，操作工需求和求职人数最多，比重均最大，超过一半，从数量上缺口也最大。这一情况与去年同期及上期供求情况相似，也是我市以制造业为主的产业结构的体现。</w:t>
      </w:r>
    </w:p>
    <w:p w14:paraId="4519B8FC">
      <w:pPr>
        <w:adjustRightInd w:val="0"/>
        <w:snapToGrid w:val="0"/>
        <w:spacing w:line="360" w:lineRule="auto"/>
        <w:jc w:val="center"/>
        <w:rPr>
          <w:rFonts w:ascii="宋体" w:hAnsi="宋体"/>
          <w:sz w:val="24"/>
        </w:rPr>
      </w:pPr>
      <w:r>
        <w:rPr>
          <w:rFonts w:hint="eastAsia" w:ascii="宋体" w:hAnsi="宋体"/>
          <w:sz w:val="24"/>
        </w:rPr>
        <w:t>表5.</w:t>
      </w:r>
      <w:r>
        <w:rPr>
          <w:rFonts w:ascii="宋体" w:hAnsi="宋体"/>
          <w:sz w:val="24"/>
        </w:rPr>
        <w:t>按职业分组的供求人数</w:t>
      </w:r>
    </w:p>
    <w:tbl>
      <w:tblPr>
        <w:tblStyle w:val="8"/>
        <w:tblW w:w="6933" w:type="dxa"/>
        <w:jc w:val="center"/>
        <w:tblLayout w:type="fixed"/>
        <w:tblCellMar>
          <w:top w:w="0" w:type="dxa"/>
          <w:left w:w="0" w:type="dxa"/>
          <w:bottom w:w="0" w:type="dxa"/>
          <w:right w:w="0" w:type="dxa"/>
        </w:tblCellMar>
      </w:tblPr>
      <w:tblGrid>
        <w:gridCol w:w="2055"/>
        <w:gridCol w:w="936"/>
        <w:gridCol w:w="986"/>
        <w:gridCol w:w="936"/>
        <w:gridCol w:w="987"/>
        <w:gridCol w:w="1033"/>
      </w:tblGrid>
      <w:tr w14:paraId="78FA6317">
        <w:tblPrEx>
          <w:tblCellMar>
            <w:top w:w="0" w:type="dxa"/>
            <w:left w:w="0" w:type="dxa"/>
            <w:bottom w:w="0" w:type="dxa"/>
            <w:right w:w="0" w:type="dxa"/>
          </w:tblCellMar>
        </w:tblPrEx>
        <w:trPr>
          <w:cantSplit/>
          <w:trHeight w:val="397" w:hRule="atLeast"/>
          <w:jc w:val="center"/>
        </w:trPr>
        <w:tc>
          <w:tcPr>
            <w:tcW w:w="2055" w:type="dxa"/>
            <w:vMerge w:val="restart"/>
            <w:tcBorders>
              <w:top w:val="single" w:color="auto" w:sz="8" w:space="0"/>
              <w:left w:val="single" w:color="auto" w:sz="8" w:space="0"/>
              <w:bottom w:val="single" w:color="auto" w:sz="8" w:space="0"/>
              <w:right w:val="single" w:color="auto" w:sz="8" w:space="0"/>
            </w:tcBorders>
            <w:shd w:val="clear" w:color="auto" w:fill="FFFF99"/>
            <w:tcMar>
              <w:top w:w="0" w:type="dxa"/>
              <w:left w:w="108" w:type="dxa"/>
              <w:bottom w:w="0" w:type="dxa"/>
              <w:right w:w="108" w:type="dxa"/>
            </w:tcMar>
            <w:vAlign w:val="center"/>
          </w:tcPr>
          <w:p w14:paraId="07C50324">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职业类别</w:t>
            </w:r>
          </w:p>
        </w:tc>
        <w:tc>
          <w:tcPr>
            <w:tcW w:w="4878" w:type="dxa"/>
            <w:gridSpan w:val="5"/>
            <w:tcBorders>
              <w:top w:val="single" w:color="auto" w:sz="8" w:space="0"/>
              <w:left w:val="nil"/>
              <w:bottom w:val="single" w:color="auto" w:sz="8" w:space="0"/>
              <w:right w:val="single" w:color="auto" w:sz="8" w:space="0"/>
            </w:tcBorders>
            <w:shd w:val="clear" w:color="auto" w:fill="FFFF99"/>
            <w:tcMar>
              <w:top w:w="0" w:type="dxa"/>
              <w:left w:w="108" w:type="dxa"/>
              <w:bottom w:w="0" w:type="dxa"/>
              <w:right w:w="108" w:type="dxa"/>
            </w:tcMar>
            <w:vAlign w:val="center"/>
          </w:tcPr>
          <w:p w14:paraId="73798BEC">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劳动力供求人数比较</w:t>
            </w:r>
          </w:p>
        </w:tc>
      </w:tr>
      <w:tr w14:paraId="4520553B">
        <w:tblPrEx>
          <w:tblCellMar>
            <w:top w:w="0" w:type="dxa"/>
            <w:left w:w="0" w:type="dxa"/>
            <w:bottom w:w="0" w:type="dxa"/>
            <w:right w:w="0" w:type="dxa"/>
          </w:tblCellMar>
        </w:tblPrEx>
        <w:trPr>
          <w:cantSplit/>
          <w:trHeight w:val="397" w:hRule="atLeast"/>
          <w:jc w:val="center"/>
        </w:trPr>
        <w:tc>
          <w:tcPr>
            <w:tcW w:w="2055" w:type="dxa"/>
            <w:vMerge w:val="continue"/>
            <w:tcBorders>
              <w:top w:val="single" w:color="auto" w:sz="8" w:space="0"/>
              <w:left w:val="single" w:color="auto" w:sz="8" w:space="0"/>
              <w:bottom w:val="single" w:color="auto" w:sz="8" w:space="0"/>
              <w:right w:val="single" w:color="auto" w:sz="8" w:space="0"/>
            </w:tcBorders>
            <w:vAlign w:val="center"/>
          </w:tcPr>
          <w:p w14:paraId="24D80573">
            <w:pPr>
              <w:widowControl/>
              <w:spacing w:line="360" w:lineRule="auto"/>
              <w:jc w:val="center"/>
              <w:rPr>
                <w:rFonts w:ascii="Verdana" w:hAnsi="Verdana" w:cs="宋体"/>
                <w:kern w:val="0"/>
                <w:sz w:val="24"/>
              </w:rPr>
            </w:pPr>
          </w:p>
        </w:tc>
        <w:tc>
          <w:tcPr>
            <w:tcW w:w="936" w:type="dxa"/>
            <w:tcBorders>
              <w:top w:val="nil"/>
              <w:left w:val="nil"/>
              <w:bottom w:val="single" w:color="auto" w:sz="8" w:space="0"/>
              <w:right w:val="single" w:color="auto" w:sz="8" w:space="0"/>
            </w:tcBorders>
            <w:shd w:val="clear" w:color="auto" w:fill="FFFF99"/>
            <w:tcMar>
              <w:top w:w="0" w:type="dxa"/>
              <w:left w:w="108" w:type="dxa"/>
              <w:bottom w:w="0" w:type="dxa"/>
              <w:right w:w="108" w:type="dxa"/>
            </w:tcMar>
          </w:tcPr>
          <w:p w14:paraId="1F3ED907">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eastAsia="zh-CN"/>
              </w:rPr>
              <w:t>第二季度</w:t>
            </w:r>
          </w:p>
          <w:p w14:paraId="42243D7B">
            <w:pPr>
              <w:widowControl/>
              <w:spacing w:line="360" w:lineRule="auto"/>
              <w:jc w:val="center"/>
              <w:rPr>
                <w:rFonts w:ascii="宋体" w:hAnsi="宋体" w:cs="宋体"/>
                <w:kern w:val="0"/>
                <w:sz w:val="24"/>
              </w:rPr>
            </w:pPr>
            <w:r>
              <w:rPr>
                <w:rFonts w:hint="eastAsia" w:ascii="宋体" w:hAnsi="宋体" w:cs="宋体"/>
                <w:kern w:val="0"/>
                <w:sz w:val="24"/>
              </w:rPr>
              <w:t>需求人数（人）</w:t>
            </w:r>
          </w:p>
        </w:tc>
        <w:tc>
          <w:tcPr>
            <w:tcW w:w="986" w:type="dxa"/>
            <w:tcBorders>
              <w:top w:val="nil"/>
              <w:left w:val="nil"/>
              <w:bottom w:val="single" w:color="auto" w:sz="8" w:space="0"/>
              <w:right w:val="single" w:color="auto" w:sz="8" w:space="0"/>
            </w:tcBorders>
            <w:shd w:val="clear" w:color="auto" w:fill="FFFF99"/>
            <w:tcMar>
              <w:top w:w="0" w:type="dxa"/>
              <w:left w:w="108" w:type="dxa"/>
              <w:bottom w:w="0" w:type="dxa"/>
              <w:right w:w="108" w:type="dxa"/>
            </w:tcMar>
          </w:tcPr>
          <w:p w14:paraId="72A46F70">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eastAsia="zh-CN"/>
              </w:rPr>
              <w:t>第二季度</w:t>
            </w:r>
          </w:p>
          <w:p w14:paraId="3DE223B1">
            <w:pPr>
              <w:widowControl/>
              <w:spacing w:line="360" w:lineRule="auto"/>
              <w:jc w:val="center"/>
              <w:rPr>
                <w:rFonts w:ascii="宋体" w:hAnsi="宋体" w:cs="宋体"/>
                <w:kern w:val="0"/>
                <w:sz w:val="24"/>
              </w:rPr>
            </w:pPr>
            <w:r>
              <w:rPr>
                <w:rFonts w:hint="eastAsia" w:ascii="宋体" w:hAnsi="宋体" w:cs="宋体"/>
                <w:kern w:val="0"/>
                <w:sz w:val="24"/>
              </w:rPr>
              <w:t>需求比重  （%）</w:t>
            </w:r>
          </w:p>
        </w:tc>
        <w:tc>
          <w:tcPr>
            <w:tcW w:w="936" w:type="dxa"/>
            <w:tcBorders>
              <w:top w:val="nil"/>
              <w:left w:val="nil"/>
              <w:bottom w:val="single" w:color="auto" w:sz="8" w:space="0"/>
              <w:right w:val="single" w:color="auto" w:sz="8" w:space="0"/>
            </w:tcBorders>
            <w:shd w:val="clear" w:color="auto" w:fill="FFFF99"/>
            <w:tcMar>
              <w:top w:w="0" w:type="dxa"/>
              <w:left w:w="108" w:type="dxa"/>
              <w:bottom w:w="0" w:type="dxa"/>
              <w:right w:w="108" w:type="dxa"/>
            </w:tcMar>
          </w:tcPr>
          <w:p w14:paraId="5324369F">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eastAsia="zh-CN"/>
              </w:rPr>
              <w:t>第二季度</w:t>
            </w:r>
          </w:p>
          <w:p w14:paraId="73911635">
            <w:pPr>
              <w:widowControl/>
              <w:spacing w:line="360" w:lineRule="auto"/>
              <w:jc w:val="center"/>
              <w:rPr>
                <w:rFonts w:ascii="宋体" w:hAnsi="宋体" w:cs="宋体"/>
                <w:kern w:val="0"/>
                <w:sz w:val="24"/>
              </w:rPr>
            </w:pPr>
            <w:r>
              <w:rPr>
                <w:rFonts w:hint="eastAsia" w:ascii="宋体" w:hAnsi="宋体" w:cs="宋体"/>
                <w:kern w:val="0"/>
                <w:sz w:val="24"/>
              </w:rPr>
              <w:t>求职人数  （人）</w:t>
            </w:r>
          </w:p>
        </w:tc>
        <w:tc>
          <w:tcPr>
            <w:tcW w:w="987" w:type="dxa"/>
            <w:tcBorders>
              <w:top w:val="nil"/>
              <w:left w:val="nil"/>
              <w:bottom w:val="single" w:color="auto" w:sz="8" w:space="0"/>
              <w:right w:val="single" w:color="auto" w:sz="8" w:space="0"/>
            </w:tcBorders>
            <w:shd w:val="clear" w:color="auto" w:fill="FFFF99"/>
            <w:tcMar>
              <w:top w:w="0" w:type="dxa"/>
              <w:left w:w="108" w:type="dxa"/>
              <w:bottom w:w="0" w:type="dxa"/>
              <w:right w:w="108" w:type="dxa"/>
            </w:tcMar>
          </w:tcPr>
          <w:p w14:paraId="15BB9CC1">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eastAsia="zh-CN"/>
              </w:rPr>
              <w:t>第二季度</w:t>
            </w:r>
          </w:p>
          <w:p w14:paraId="1B62E0B3">
            <w:pPr>
              <w:widowControl/>
              <w:spacing w:line="360" w:lineRule="auto"/>
              <w:jc w:val="center"/>
              <w:rPr>
                <w:rFonts w:ascii="宋体" w:hAnsi="宋体" w:cs="宋体"/>
                <w:kern w:val="0"/>
                <w:sz w:val="24"/>
              </w:rPr>
            </w:pPr>
            <w:r>
              <w:rPr>
                <w:rFonts w:hint="eastAsia" w:ascii="宋体" w:hAnsi="宋体" w:cs="宋体"/>
                <w:kern w:val="0"/>
                <w:sz w:val="24"/>
              </w:rPr>
              <w:t>求职比重  （%）</w:t>
            </w:r>
          </w:p>
        </w:tc>
        <w:tc>
          <w:tcPr>
            <w:tcW w:w="1033"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14:paraId="6458DB0C">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eastAsia="zh-CN"/>
              </w:rPr>
              <w:t>第二季度</w:t>
            </w:r>
          </w:p>
          <w:p w14:paraId="24C48672">
            <w:pPr>
              <w:widowControl/>
              <w:spacing w:line="360" w:lineRule="auto"/>
              <w:jc w:val="center"/>
              <w:rPr>
                <w:rFonts w:ascii="宋体" w:hAnsi="宋体" w:cs="宋体"/>
                <w:kern w:val="0"/>
                <w:sz w:val="24"/>
              </w:rPr>
            </w:pPr>
            <w:r>
              <w:rPr>
                <w:rFonts w:hint="eastAsia" w:ascii="宋体" w:hAnsi="宋体" w:cs="宋体"/>
                <w:kern w:val="0"/>
                <w:sz w:val="24"/>
              </w:rPr>
              <w:t>求人倍率</w:t>
            </w:r>
          </w:p>
        </w:tc>
      </w:tr>
      <w:tr w14:paraId="56A33E97">
        <w:tblPrEx>
          <w:tblCellMar>
            <w:top w:w="0" w:type="dxa"/>
            <w:left w:w="0" w:type="dxa"/>
            <w:bottom w:w="0" w:type="dxa"/>
            <w:right w:w="0" w:type="dxa"/>
          </w:tblCellMar>
        </w:tblPrEx>
        <w:trPr>
          <w:trHeight w:val="630" w:hRule="atLeast"/>
          <w:jc w:val="center"/>
        </w:trPr>
        <w:tc>
          <w:tcPr>
            <w:tcW w:w="205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67BB5094">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单位负责人</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65F2732C">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173</w:t>
            </w:r>
          </w:p>
        </w:tc>
        <w:tc>
          <w:tcPr>
            <w:tcW w:w="98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10C9B908">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0.33%</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07DD6B0B">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150</w:t>
            </w:r>
          </w:p>
        </w:tc>
        <w:tc>
          <w:tcPr>
            <w:tcW w:w="98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0BDEF1F3">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0.34%</w:t>
            </w:r>
          </w:p>
        </w:tc>
        <w:tc>
          <w:tcPr>
            <w:tcW w:w="1033"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14:paraId="6E41B965">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 xml:space="preserve">1.15 </w:t>
            </w:r>
          </w:p>
        </w:tc>
      </w:tr>
      <w:tr w14:paraId="405A580C">
        <w:tblPrEx>
          <w:tblCellMar>
            <w:top w:w="0" w:type="dxa"/>
            <w:left w:w="0" w:type="dxa"/>
            <w:bottom w:w="0" w:type="dxa"/>
            <w:right w:w="0" w:type="dxa"/>
          </w:tblCellMar>
        </w:tblPrEx>
        <w:trPr>
          <w:trHeight w:val="630" w:hRule="atLeast"/>
          <w:jc w:val="center"/>
        </w:trPr>
        <w:tc>
          <w:tcPr>
            <w:tcW w:w="205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1A65F0F4">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专业技术人员</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50ECFE8B">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5750</w:t>
            </w:r>
          </w:p>
        </w:tc>
        <w:tc>
          <w:tcPr>
            <w:tcW w:w="98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07C8C397">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10.86%</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0E69B285">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4874</w:t>
            </w:r>
          </w:p>
        </w:tc>
        <w:tc>
          <w:tcPr>
            <w:tcW w:w="98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207864F1">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11.11%</w:t>
            </w:r>
          </w:p>
        </w:tc>
        <w:tc>
          <w:tcPr>
            <w:tcW w:w="1033"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14:paraId="39478384">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 xml:space="preserve">1.18 </w:t>
            </w:r>
          </w:p>
        </w:tc>
      </w:tr>
      <w:tr w14:paraId="3C3E0283">
        <w:tblPrEx>
          <w:tblCellMar>
            <w:top w:w="0" w:type="dxa"/>
            <w:left w:w="0" w:type="dxa"/>
            <w:bottom w:w="0" w:type="dxa"/>
            <w:right w:w="0" w:type="dxa"/>
          </w:tblCellMar>
        </w:tblPrEx>
        <w:trPr>
          <w:trHeight w:val="630" w:hRule="atLeast"/>
          <w:jc w:val="center"/>
        </w:trPr>
        <w:tc>
          <w:tcPr>
            <w:tcW w:w="205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5BD877A9">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办事人员和有关人员</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5EAC4A00">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3627</w:t>
            </w:r>
          </w:p>
        </w:tc>
        <w:tc>
          <w:tcPr>
            <w:tcW w:w="98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16132731">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6.85%</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45326DFE">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2751</w:t>
            </w:r>
          </w:p>
        </w:tc>
        <w:tc>
          <w:tcPr>
            <w:tcW w:w="98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51CDC2A9">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6.27%</w:t>
            </w:r>
          </w:p>
        </w:tc>
        <w:tc>
          <w:tcPr>
            <w:tcW w:w="1033"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14:paraId="0F68B223">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 xml:space="preserve">1.32 </w:t>
            </w:r>
          </w:p>
        </w:tc>
      </w:tr>
      <w:tr w14:paraId="65AF2E11">
        <w:tblPrEx>
          <w:tblCellMar>
            <w:top w:w="0" w:type="dxa"/>
            <w:left w:w="0" w:type="dxa"/>
            <w:bottom w:w="0" w:type="dxa"/>
            <w:right w:w="0" w:type="dxa"/>
          </w:tblCellMar>
        </w:tblPrEx>
        <w:trPr>
          <w:trHeight w:val="630" w:hRule="atLeast"/>
          <w:jc w:val="center"/>
        </w:trPr>
        <w:tc>
          <w:tcPr>
            <w:tcW w:w="205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77681EE5">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商业和服务业人员</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2D3EA324">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8083</w:t>
            </w:r>
          </w:p>
        </w:tc>
        <w:tc>
          <w:tcPr>
            <w:tcW w:w="98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6D8E8D9A">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15.27%</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1BBF9487">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6390</w:t>
            </w:r>
          </w:p>
        </w:tc>
        <w:tc>
          <w:tcPr>
            <w:tcW w:w="98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58DF8F72">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14.56%</w:t>
            </w:r>
          </w:p>
        </w:tc>
        <w:tc>
          <w:tcPr>
            <w:tcW w:w="1033"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14:paraId="680DA07F">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 xml:space="preserve">1.26 </w:t>
            </w:r>
          </w:p>
        </w:tc>
      </w:tr>
      <w:tr w14:paraId="775B7617">
        <w:tblPrEx>
          <w:tblCellMar>
            <w:top w:w="0" w:type="dxa"/>
            <w:left w:w="0" w:type="dxa"/>
            <w:bottom w:w="0" w:type="dxa"/>
            <w:right w:w="0" w:type="dxa"/>
          </w:tblCellMar>
        </w:tblPrEx>
        <w:trPr>
          <w:trHeight w:val="630" w:hRule="atLeast"/>
          <w:jc w:val="center"/>
        </w:trPr>
        <w:tc>
          <w:tcPr>
            <w:tcW w:w="205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7753E806">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农林牧渔水利生产人员</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555CA497">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w:t>
            </w:r>
          </w:p>
        </w:tc>
        <w:tc>
          <w:tcPr>
            <w:tcW w:w="98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7869A19B">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0.00%</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06A71D03">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w:t>
            </w:r>
          </w:p>
        </w:tc>
        <w:tc>
          <w:tcPr>
            <w:tcW w:w="98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7AD04A95">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0.00%</w:t>
            </w:r>
          </w:p>
        </w:tc>
        <w:tc>
          <w:tcPr>
            <w:tcW w:w="1033"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14:paraId="51937B6A">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w:t>
            </w:r>
          </w:p>
        </w:tc>
      </w:tr>
      <w:tr w14:paraId="3F529A68">
        <w:tblPrEx>
          <w:tblCellMar>
            <w:top w:w="0" w:type="dxa"/>
            <w:left w:w="0" w:type="dxa"/>
            <w:bottom w:w="0" w:type="dxa"/>
            <w:right w:w="0" w:type="dxa"/>
          </w:tblCellMar>
        </w:tblPrEx>
        <w:trPr>
          <w:trHeight w:val="630" w:hRule="atLeast"/>
          <w:jc w:val="center"/>
        </w:trPr>
        <w:tc>
          <w:tcPr>
            <w:tcW w:w="205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6A415F83">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生产运输设备操作工</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449515F8">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31729</w:t>
            </w:r>
          </w:p>
        </w:tc>
        <w:tc>
          <w:tcPr>
            <w:tcW w:w="98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3D1ECA3C">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59.94%</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1C5D5690">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26591</w:t>
            </w:r>
          </w:p>
        </w:tc>
        <w:tc>
          <w:tcPr>
            <w:tcW w:w="98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0486AF74">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60.59%</w:t>
            </w:r>
          </w:p>
        </w:tc>
        <w:tc>
          <w:tcPr>
            <w:tcW w:w="1033"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14:paraId="2C252748">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 xml:space="preserve">1.19 </w:t>
            </w:r>
          </w:p>
        </w:tc>
      </w:tr>
      <w:tr w14:paraId="7A882E0C">
        <w:tblPrEx>
          <w:tblCellMar>
            <w:top w:w="0" w:type="dxa"/>
            <w:left w:w="0" w:type="dxa"/>
            <w:bottom w:w="0" w:type="dxa"/>
            <w:right w:w="0" w:type="dxa"/>
          </w:tblCellMar>
        </w:tblPrEx>
        <w:trPr>
          <w:trHeight w:val="630" w:hRule="atLeast"/>
          <w:jc w:val="center"/>
        </w:trPr>
        <w:tc>
          <w:tcPr>
            <w:tcW w:w="205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0E48D28A">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其他</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31AA7C4B">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3576</w:t>
            </w:r>
          </w:p>
        </w:tc>
        <w:tc>
          <w:tcPr>
            <w:tcW w:w="98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048A73D4">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6.76%</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7D710F65">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3128</w:t>
            </w:r>
          </w:p>
        </w:tc>
        <w:tc>
          <w:tcPr>
            <w:tcW w:w="98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4A1C35A2">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7.13%</w:t>
            </w:r>
          </w:p>
        </w:tc>
        <w:tc>
          <w:tcPr>
            <w:tcW w:w="1033"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14:paraId="38236C1B">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 xml:space="preserve">1.14 </w:t>
            </w:r>
          </w:p>
        </w:tc>
      </w:tr>
      <w:tr w14:paraId="55BAC4DA">
        <w:tblPrEx>
          <w:tblCellMar>
            <w:top w:w="0" w:type="dxa"/>
            <w:left w:w="0" w:type="dxa"/>
            <w:bottom w:w="0" w:type="dxa"/>
            <w:right w:w="0" w:type="dxa"/>
          </w:tblCellMar>
        </w:tblPrEx>
        <w:trPr>
          <w:trHeight w:val="630" w:hRule="atLeast"/>
          <w:jc w:val="center"/>
        </w:trPr>
        <w:tc>
          <w:tcPr>
            <w:tcW w:w="205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5BC3B022">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无要求</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600EACF6">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w:t>
            </w:r>
          </w:p>
        </w:tc>
        <w:tc>
          <w:tcPr>
            <w:tcW w:w="98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00B5D493">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0.00%</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5DA7F1E2">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w:t>
            </w:r>
          </w:p>
        </w:tc>
        <w:tc>
          <w:tcPr>
            <w:tcW w:w="98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33665764">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0.00%</w:t>
            </w:r>
          </w:p>
        </w:tc>
        <w:tc>
          <w:tcPr>
            <w:tcW w:w="1033"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14:paraId="7CD5CE9C">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w:t>
            </w:r>
          </w:p>
        </w:tc>
      </w:tr>
      <w:tr w14:paraId="15C5B9F5">
        <w:tblPrEx>
          <w:tblCellMar>
            <w:top w:w="0" w:type="dxa"/>
            <w:left w:w="0" w:type="dxa"/>
            <w:bottom w:w="0" w:type="dxa"/>
            <w:right w:w="0" w:type="dxa"/>
          </w:tblCellMar>
        </w:tblPrEx>
        <w:trPr>
          <w:trHeight w:val="630" w:hRule="atLeast"/>
          <w:jc w:val="center"/>
        </w:trPr>
        <w:tc>
          <w:tcPr>
            <w:tcW w:w="2055"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76B650DC">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合计</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6463A96D">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52938</w:t>
            </w:r>
          </w:p>
        </w:tc>
        <w:tc>
          <w:tcPr>
            <w:tcW w:w="98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329FD822">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100.00%</w:t>
            </w:r>
          </w:p>
        </w:tc>
        <w:tc>
          <w:tcPr>
            <w:tcW w:w="936"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008CC717">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43884</w:t>
            </w:r>
          </w:p>
        </w:tc>
        <w:tc>
          <w:tcPr>
            <w:tcW w:w="98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6B608B6D">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100.00%</w:t>
            </w:r>
          </w:p>
        </w:tc>
        <w:tc>
          <w:tcPr>
            <w:tcW w:w="1033" w:type="dxa"/>
            <w:tcBorders>
              <w:top w:val="single" w:color="auto" w:sz="8" w:space="0"/>
              <w:left w:val="nil"/>
              <w:bottom w:val="single" w:color="auto" w:sz="8" w:space="0"/>
              <w:right w:val="single" w:color="auto" w:sz="8" w:space="0"/>
            </w:tcBorders>
            <w:shd w:val="clear" w:color="auto" w:fill="33CCCC"/>
            <w:tcMar>
              <w:top w:w="0" w:type="dxa"/>
              <w:left w:w="108" w:type="dxa"/>
              <w:bottom w:w="0" w:type="dxa"/>
              <w:right w:w="108" w:type="dxa"/>
            </w:tcMar>
            <w:vAlign w:val="center"/>
          </w:tcPr>
          <w:p w14:paraId="01356C3C">
            <w:pPr>
              <w:keepNext w:val="0"/>
              <w:keepLines w:val="0"/>
              <w:widowControl/>
              <w:suppressLineNumbers w:val="0"/>
              <w:jc w:val="center"/>
              <w:textAlignment w:val="center"/>
              <w:rPr>
                <w:rFonts w:hint="eastAsia"/>
                <w:color w:val="auto"/>
                <w:sz w:val="24"/>
                <w:lang w:val="en-US" w:eastAsia="zh-CN"/>
              </w:rPr>
            </w:pPr>
            <w:r>
              <w:rPr>
                <w:rFonts w:hint="eastAsia" w:ascii="宋体" w:hAnsi="宋体" w:eastAsia="宋体" w:cs="宋体"/>
                <w:i w:val="0"/>
                <w:iCs w:val="0"/>
                <w:color w:val="auto"/>
                <w:kern w:val="0"/>
                <w:sz w:val="22"/>
                <w:szCs w:val="22"/>
                <w:u w:val="none"/>
                <w:lang w:val="en-US" w:eastAsia="zh-CN" w:bidi="ar"/>
              </w:rPr>
              <w:t xml:space="preserve">1.21 </w:t>
            </w:r>
          </w:p>
        </w:tc>
      </w:tr>
    </w:tbl>
    <w:p w14:paraId="0206A7C2">
      <w:pPr>
        <w:adjustRightInd w:val="0"/>
        <w:snapToGrid w:val="0"/>
        <w:spacing w:line="360" w:lineRule="auto"/>
        <w:jc w:val="center"/>
        <w:rPr>
          <w:rFonts w:ascii="宋体" w:hAnsi="宋体"/>
          <w:color w:val="FF0000"/>
          <w:sz w:val="24"/>
        </w:rPr>
      </w:pPr>
    </w:p>
    <w:tbl>
      <w:tblPr>
        <w:tblStyle w:val="8"/>
        <w:tblW w:w="9109" w:type="dxa"/>
        <w:tblInd w:w="93" w:type="dxa"/>
        <w:tblLayout w:type="fixed"/>
        <w:tblCellMar>
          <w:top w:w="0" w:type="dxa"/>
          <w:left w:w="108" w:type="dxa"/>
          <w:bottom w:w="0" w:type="dxa"/>
          <w:right w:w="108" w:type="dxa"/>
        </w:tblCellMar>
      </w:tblPr>
      <w:tblGrid>
        <w:gridCol w:w="9109"/>
      </w:tblGrid>
      <w:tr w14:paraId="65735281">
        <w:tblPrEx>
          <w:tblCellMar>
            <w:top w:w="0" w:type="dxa"/>
            <w:left w:w="108" w:type="dxa"/>
            <w:bottom w:w="0" w:type="dxa"/>
            <w:right w:w="108" w:type="dxa"/>
          </w:tblCellMar>
        </w:tblPrEx>
        <w:trPr>
          <w:trHeight w:val="1212" w:hRule="atLeast"/>
        </w:trPr>
        <w:tc>
          <w:tcPr>
            <w:tcW w:w="9109" w:type="dxa"/>
            <w:tcBorders>
              <w:top w:val="nil"/>
              <w:left w:val="nil"/>
              <w:bottom w:val="nil"/>
              <w:right w:val="nil"/>
            </w:tcBorders>
            <w:shd w:val="clear" w:color="auto" w:fill="auto"/>
            <w:vAlign w:val="center"/>
          </w:tcPr>
          <w:p w14:paraId="2761EDBD">
            <w:pPr>
              <w:widowControl/>
              <w:spacing w:line="360" w:lineRule="auto"/>
              <w:ind w:right="252" w:rightChars="120"/>
              <w:jc w:val="center"/>
              <w:rPr>
                <w:rFonts w:ascii="宋体" w:hAnsi="宋体"/>
                <w:sz w:val="24"/>
              </w:rPr>
            </w:pPr>
            <w:r>
              <w:rPr>
                <w:rFonts w:hint="eastAsia" w:ascii="宋体" w:hAnsi="宋体"/>
                <w:sz w:val="24"/>
              </w:rPr>
              <w:t>表6</w:t>
            </w:r>
            <w:r>
              <w:rPr>
                <w:rFonts w:hint="eastAsia" w:ascii="宋体" w:hAnsi="宋体"/>
                <w:sz w:val="24"/>
                <w:lang w:val="en-US" w:eastAsia="zh-CN"/>
              </w:rPr>
              <w:t>.</w:t>
            </w:r>
            <w:r>
              <w:rPr>
                <w:rFonts w:hint="eastAsia" w:ascii="宋体" w:hAnsi="宋体"/>
                <w:sz w:val="24"/>
              </w:rPr>
              <w:t>需求大于求职缺口最大的前十个职业</w:t>
            </w:r>
          </w:p>
          <w:tbl>
            <w:tblPr>
              <w:tblStyle w:val="8"/>
              <w:tblpPr w:leftFromText="180" w:rightFromText="180" w:vertAnchor="text" w:horzAnchor="page" w:tblpXSpec="center" w:tblpY="143"/>
              <w:tblOverlap w:val="never"/>
              <w:tblW w:w="8888" w:type="dxa"/>
              <w:jc w:val="center"/>
              <w:shd w:val="clear" w:color="auto" w:fill="DAEEF3" w:themeFill="accent5" w:themeFillTint="33"/>
              <w:tblLayout w:type="fixed"/>
              <w:tblCellMar>
                <w:top w:w="0" w:type="dxa"/>
                <w:left w:w="108" w:type="dxa"/>
                <w:bottom w:w="0" w:type="dxa"/>
                <w:right w:w="108" w:type="dxa"/>
              </w:tblCellMar>
            </w:tblPr>
            <w:tblGrid>
              <w:gridCol w:w="458"/>
              <w:gridCol w:w="1872"/>
              <w:gridCol w:w="1494"/>
              <w:gridCol w:w="1519"/>
              <w:gridCol w:w="1350"/>
              <w:gridCol w:w="1012"/>
              <w:gridCol w:w="1183"/>
            </w:tblGrid>
            <w:tr w14:paraId="1C928F6F">
              <w:tblPrEx>
                <w:shd w:val="clear" w:color="auto" w:fill="DAEEF3" w:themeFill="accent5" w:themeFillTint="33"/>
                <w:tblCellMar>
                  <w:top w:w="0" w:type="dxa"/>
                  <w:left w:w="108" w:type="dxa"/>
                  <w:bottom w:w="0" w:type="dxa"/>
                  <w:right w:w="108" w:type="dxa"/>
                </w:tblCellMar>
              </w:tblPrEx>
              <w:trPr>
                <w:trHeight w:val="447" w:hRule="atLeast"/>
                <w:jc w:val="center"/>
              </w:trPr>
              <w:tc>
                <w:tcPr>
                  <w:tcW w:w="2330" w:type="dxa"/>
                  <w:gridSpan w:val="2"/>
                  <w:vMerge w:val="restart"/>
                  <w:tcBorders>
                    <w:top w:val="single" w:color="auto" w:sz="4" w:space="0"/>
                    <w:left w:val="single" w:color="auto" w:sz="4" w:space="0"/>
                    <w:bottom w:val="single" w:color="auto" w:sz="4" w:space="0"/>
                    <w:right w:val="single" w:color="auto" w:sz="4" w:space="0"/>
                  </w:tcBorders>
                  <w:shd w:val="clear" w:color="auto" w:fill="92CDDC" w:themeFill="accent5" w:themeFillTint="99"/>
                  <w:noWrap/>
                  <w:vAlign w:val="center"/>
                </w:tcPr>
                <w:p w14:paraId="4E8A2A49">
                  <w:pPr>
                    <w:widowControl/>
                    <w:spacing w:line="360" w:lineRule="auto"/>
                    <w:jc w:val="center"/>
                    <w:rPr>
                      <w:rFonts w:ascii="宋体" w:hAnsi="宋体" w:cs="宋体"/>
                      <w:b/>
                      <w:bCs/>
                      <w:kern w:val="0"/>
                      <w:sz w:val="24"/>
                    </w:rPr>
                  </w:pPr>
                  <w:r>
                    <w:rPr>
                      <w:rFonts w:hint="eastAsia" w:ascii="宋体" w:hAnsi="宋体" w:cs="宋体"/>
                      <w:b/>
                      <w:bCs/>
                      <w:kern w:val="0"/>
                      <w:sz w:val="24"/>
                    </w:rPr>
                    <w:t>职业</w:t>
                  </w:r>
                </w:p>
              </w:tc>
              <w:tc>
                <w:tcPr>
                  <w:tcW w:w="1494" w:type="dxa"/>
                  <w:vMerge w:val="restart"/>
                  <w:tcBorders>
                    <w:top w:val="single" w:color="auto" w:sz="4" w:space="0"/>
                    <w:left w:val="single" w:color="auto" w:sz="4" w:space="0"/>
                    <w:bottom w:val="single" w:color="auto" w:sz="4" w:space="0"/>
                    <w:right w:val="single" w:color="auto" w:sz="4" w:space="0"/>
                  </w:tcBorders>
                  <w:shd w:val="clear" w:color="auto" w:fill="92CDDC" w:themeFill="accent5" w:themeFillTint="99"/>
                  <w:noWrap/>
                  <w:vAlign w:val="center"/>
                </w:tcPr>
                <w:p w14:paraId="418271E1">
                  <w:pPr>
                    <w:widowControl/>
                    <w:spacing w:line="360" w:lineRule="auto"/>
                    <w:jc w:val="center"/>
                    <w:rPr>
                      <w:rFonts w:ascii="宋体" w:hAnsi="宋体" w:cs="宋体"/>
                      <w:b/>
                      <w:bCs/>
                      <w:kern w:val="0"/>
                      <w:sz w:val="24"/>
                    </w:rPr>
                  </w:pPr>
                  <w:r>
                    <w:rPr>
                      <w:rFonts w:hint="eastAsia" w:ascii="宋体" w:hAnsi="宋体" w:cs="宋体"/>
                      <w:b/>
                      <w:bCs/>
                      <w:kern w:val="0"/>
                      <w:sz w:val="24"/>
                    </w:rPr>
                    <w:t>职业代码</w:t>
                  </w:r>
                </w:p>
              </w:tc>
              <w:tc>
                <w:tcPr>
                  <w:tcW w:w="5064" w:type="dxa"/>
                  <w:gridSpan w:val="4"/>
                  <w:tcBorders>
                    <w:top w:val="single" w:color="auto" w:sz="4" w:space="0"/>
                    <w:left w:val="nil"/>
                    <w:bottom w:val="single" w:color="auto" w:sz="4" w:space="0"/>
                    <w:right w:val="single" w:color="auto" w:sz="4" w:space="0"/>
                  </w:tcBorders>
                  <w:shd w:val="clear" w:color="auto" w:fill="92CDDC" w:themeFill="accent5" w:themeFillTint="99"/>
                  <w:noWrap/>
                  <w:vAlign w:val="center"/>
                </w:tcPr>
                <w:p w14:paraId="7889CA5F">
                  <w:pPr>
                    <w:widowControl/>
                    <w:spacing w:line="360" w:lineRule="auto"/>
                    <w:jc w:val="center"/>
                    <w:rPr>
                      <w:rFonts w:ascii="宋体" w:hAnsi="宋体" w:cs="宋体"/>
                      <w:b/>
                      <w:bCs/>
                      <w:kern w:val="0"/>
                      <w:sz w:val="24"/>
                    </w:rPr>
                  </w:pPr>
                  <w:r>
                    <w:rPr>
                      <w:rFonts w:hint="eastAsia" w:ascii="宋体" w:hAnsi="宋体" w:cs="宋体"/>
                      <w:b/>
                      <w:bCs/>
                      <w:kern w:val="0"/>
                      <w:sz w:val="24"/>
                    </w:rPr>
                    <w:t>劳动力供求人数比较</w:t>
                  </w:r>
                </w:p>
              </w:tc>
            </w:tr>
            <w:tr w14:paraId="5D88B390">
              <w:tblPrEx>
                <w:shd w:val="clear" w:color="auto" w:fill="DAEEF3" w:themeFill="accent5" w:themeFillTint="33"/>
                <w:tblCellMar>
                  <w:top w:w="0" w:type="dxa"/>
                  <w:left w:w="108" w:type="dxa"/>
                  <w:bottom w:w="0" w:type="dxa"/>
                  <w:right w:w="108" w:type="dxa"/>
                </w:tblCellMar>
              </w:tblPrEx>
              <w:trPr>
                <w:trHeight w:val="447" w:hRule="atLeast"/>
                <w:jc w:val="center"/>
              </w:trPr>
              <w:tc>
                <w:tcPr>
                  <w:tcW w:w="2330" w:type="dxa"/>
                  <w:gridSpan w:val="2"/>
                  <w:vMerge w:val="continue"/>
                  <w:tcBorders>
                    <w:top w:val="single" w:color="auto" w:sz="4" w:space="0"/>
                    <w:left w:val="single" w:color="auto" w:sz="4" w:space="0"/>
                    <w:bottom w:val="single" w:color="auto" w:sz="4" w:space="0"/>
                    <w:right w:val="single" w:color="auto" w:sz="4" w:space="0"/>
                  </w:tcBorders>
                  <w:shd w:val="clear" w:color="auto" w:fill="92CDDC" w:themeFill="accent5" w:themeFillTint="99"/>
                  <w:vAlign w:val="center"/>
                </w:tcPr>
                <w:p w14:paraId="1DD8202A">
                  <w:pPr>
                    <w:widowControl/>
                    <w:spacing w:line="360" w:lineRule="auto"/>
                    <w:jc w:val="left"/>
                    <w:rPr>
                      <w:rFonts w:ascii="宋体" w:hAnsi="宋体" w:cs="宋体"/>
                      <w:b/>
                      <w:bCs/>
                      <w:kern w:val="0"/>
                      <w:sz w:val="24"/>
                    </w:rPr>
                  </w:pPr>
                </w:p>
              </w:tc>
              <w:tc>
                <w:tcPr>
                  <w:tcW w:w="1494" w:type="dxa"/>
                  <w:vMerge w:val="continue"/>
                  <w:tcBorders>
                    <w:top w:val="single" w:color="auto" w:sz="4" w:space="0"/>
                    <w:left w:val="single" w:color="auto" w:sz="4" w:space="0"/>
                    <w:bottom w:val="single" w:color="auto" w:sz="4" w:space="0"/>
                    <w:right w:val="single" w:color="auto" w:sz="4" w:space="0"/>
                  </w:tcBorders>
                  <w:shd w:val="clear" w:color="auto" w:fill="92CDDC" w:themeFill="accent5" w:themeFillTint="99"/>
                  <w:vAlign w:val="center"/>
                </w:tcPr>
                <w:p w14:paraId="777B3E8A">
                  <w:pPr>
                    <w:widowControl/>
                    <w:spacing w:line="360" w:lineRule="auto"/>
                    <w:jc w:val="left"/>
                    <w:rPr>
                      <w:rFonts w:ascii="宋体" w:hAnsi="宋体" w:cs="宋体"/>
                      <w:b/>
                      <w:bCs/>
                      <w:kern w:val="0"/>
                      <w:sz w:val="24"/>
                    </w:rPr>
                  </w:pPr>
                </w:p>
              </w:tc>
              <w:tc>
                <w:tcPr>
                  <w:tcW w:w="1519" w:type="dxa"/>
                  <w:tcBorders>
                    <w:top w:val="nil"/>
                    <w:left w:val="nil"/>
                    <w:bottom w:val="single" w:color="auto" w:sz="4" w:space="0"/>
                    <w:right w:val="single" w:color="auto" w:sz="4" w:space="0"/>
                  </w:tcBorders>
                  <w:shd w:val="clear" w:color="auto" w:fill="92CDDC" w:themeFill="accent5" w:themeFillTint="99"/>
                  <w:noWrap/>
                  <w:vAlign w:val="center"/>
                </w:tcPr>
                <w:p w14:paraId="7E7920A2">
                  <w:pPr>
                    <w:widowControl/>
                    <w:spacing w:line="360" w:lineRule="auto"/>
                    <w:jc w:val="center"/>
                    <w:rPr>
                      <w:rFonts w:ascii="宋体" w:hAnsi="宋体" w:cs="宋体"/>
                      <w:b/>
                      <w:bCs/>
                      <w:kern w:val="0"/>
                      <w:sz w:val="24"/>
                    </w:rPr>
                  </w:pPr>
                  <w:r>
                    <w:rPr>
                      <w:rFonts w:hint="eastAsia" w:ascii="宋体" w:hAnsi="宋体" w:cs="宋体"/>
                      <w:b/>
                      <w:bCs/>
                      <w:kern w:val="0"/>
                      <w:sz w:val="24"/>
                    </w:rPr>
                    <w:t>需求人数</w:t>
                  </w:r>
                </w:p>
              </w:tc>
              <w:tc>
                <w:tcPr>
                  <w:tcW w:w="1350" w:type="dxa"/>
                  <w:tcBorders>
                    <w:top w:val="nil"/>
                    <w:left w:val="nil"/>
                    <w:bottom w:val="single" w:color="auto" w:sz="4" w:space="0"/>
                    <w:right w:val="single" w:color="auto" w:sz="4" w:space="0"/>
                  </w:tcBorders>
                  <w:shd w:val="clear" w:color="auto" w:fill="92CDDC" w:themeFill="accent5" w:themeFillTint="99"/>
                  <w:noWrap/>
                  <w:vAlign w:val="center"/>
                </w:tcPr>
                <w:p w14:paraId="4E17F0C2">
                  <w:pPr>
                    <w:widowControl/>
                    <w:spacing w:line="360" w:lineRule="auto"/>
                    <w:jc w:val="center"/>
                    <w:rPr>
                      <w:rFonts w:ascii="宋体" w:hAnsi="宋体" w:cs="宋体"/>
                      <w:b/>
                      <w:bCs/>
                      <w:kern w:val="0"/>
                      <w:sz w:val="24"/>
                    </w:rPr>
                  </w:pPr>
                  <w:r>
                    <w:rPr>
                      <w:rFonts w:hint="eastAsia" w:ascii="宋体" w:hAnsi="宋体" w:cs="宋体"/>
                      <w:b/>
                      <w:bCs/>
                      <w:kern w:val="0"/>
                      <w:sz w:val="24"/>
                    </w:rPr>
                    <w:t>求职人数</w:t>
                  </w:r>
                </w:p>
              </w:tc>
              <w:tc>
                <w:tcPr>
                  <w:tcW w:w="1012" w:type="dxa"/>
                  <w:tcBorders>
                    <w:top w:val="nil"/>
                    <w:left w:val="nil"/>
                    <w:bottom w:val="single" w:color="auto" w:sz="4" w:space="0"/>
                    <w:right w:val="single" w:color="auto" w:sz="4" w:space="0"/>
                  </w:tcBorders>
                  <w:shd w:val="clear" w:color="auto" w:fill="92CDDC" w:themeFill="accent5" w:themeFillTint="99"/>
                  <w:noWrap/>
                  <w:vAlign w:val="center"/>
                </w:tcPr>
                <w:p w14:paraId="751621EC">
                  <w:pPr>
                    <w:widowControl/>
                    <w:spacing w:line="360" w:lineRule="auto"/>
                    <w:jc w:val="center"/>
                    <w:rPr>
                      <w:rFonts w:ascii="宋体" w:hAnsi="宋体" w:cs="宋体"/>
                      <w:b/>
                      <w:bCs/>
                      <w:kern w:val="0"/>
                      <w:sz w:val="24"/>
                    </w:rPr>
                  </w:pPr>
                  <w:r>
                    <w:rPr>
                      <w:rFonts w:hint="eastAsia" w:ascii="宋体" w:hAnsi="宋体" w:cs="宋体"/>
                      <w:b/>
                      <w:bCs/>
                      <w:kern w:val="0"/>
                      <w:sz w:val="24"/>
                    </w:rPr>
                    <w:t>缺口数</w:t>
                  </w:r>
                </w:p>
              </w:tc>
              <w:tc>
                <w:tcPr>
                  <w:tcW w:w="1183" w:type="dxa"/>
                  <w:tcBorders>
                    <w:top w:val="nil"/>
                    <w:left w:val="nil"/>
                    <w:bottom w:val="single" w:color="auto" w:sz="4" w:space="0"/>
                    <w:right w:val="single" w:color="auto" w:sz="4" w:space="0"/>
                  </w:tcBorders>
                  <w:shd w:val="clear" w:color="auto" w:fill="92CDDC" w:themeFill="accent5" w:themeFillTint="99"/>
                  <w:noWrap/>
                  <w:vAlign w:val="center"/>
                </w:tcPr>
                <w:p w14:paraId="2AD55F51">
                  <w:pPr>
                    <w:widowControl/>
                    <w:spacing w:line="360" w:lineRule="auto"/>
                    <w:jc w:val="center"/>
                    <w:rPr>
                      <w:rFonts w:ascii="宋体" w:hAnsi="宋体" w:cs="宋体"/>
                      <w:b/>
                      <w:bCs/>
                      <w:kern w:val="0"/>
                      <w:sz w:val="24"/>
                    </w:rPr>
                  </w:pPr>
                  <w:r>
                    <w:rPr>
                      <w:rFonts w:hint="eastAsia" w:ascii="宋体" w:hAnsi="宋体" w:cs="宋体"/>
                      <w:b/>
                      <w:bCs/>
                      <w:kern w:val="0"/>
                      <w:sz w:val="24"/>
                    </w:rPr>
                    <w:t>求人倍率</w:t>
                  </w:r>
                </w:p>
              </w:tc>
            </w:tr>
            <w:tr w14:paraId="14D054CC">
              <w:tblPrEx>
                <w:shd w:val="clear" w:color="auto" w:fill="DAEEF3" w:themeFill="accent5" w:themeFillTint="33"/>
                <w:tblCellMar>
                  <w:top w:w="0" w:type="dxa"/>
                  <w:left w:w="108" w:type="dxa"/>
                  <w:bottom w:w="0" w:type="dxa"/>
                  <w:right w:w="108" w:type="dxa"/>
                </w:tblCellMar>
              </w:tblPrEx>
              <w:trPr>
                <w:trHeight w:val="44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14:paraId="632EA60B">
                  <w:pPr>
                    <w:jc w:val="center"/>
                    <w:rPr>
                      <w:rFonts w:hint="eastAsia"/>
                      <w:sz w:val="24"/>
                      <w:lang w:val="en-US" w:eastAsia="zh-CN"/>
                    </w:rPr>
                  </w:pPr>
                  <w:r>
                    <w:rPr>
                      <w:rFonts w:hint="eastAsia"/>
                      <w:sz w:val="24"/>
                      <w:lang w:val="en-US" w:eastAsia="zh-CN"/>
                    </w:rPr>
                    <w:t>1</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14:paraId="2992BC4A">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车工</w:t>
                  </w:r>
                </w:p>
              </w:tc>
              <w:tc>
                <w:tcPr>
                  <w:tcW w:w="1494" w:type="dxa"/>
                  <w:tcBorders>
                    <w:top w:val="nil"/>
                    <w:left w:val="nil"/>
                    <w:bottom w:val="single" w:color="auto" w:sz="4" w:space="0"/>
                    <w:right w:val="single" w:color="auto" w:sz="4" w:space="0"/>
                  </w:tcBorders>
                  <w:shd w:val="clear" w:color="auto" w:fill="DAEEF3" w:themeFill="accent5" w:themeFillTint="33"/>
                  <w:noWrap/>
                  <w:vAlign w:val="center"/>
                </w:tcPr>
                <w:p w14:paraId="2E1949B1">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6-18-01-01</w:t>
                  </w:r>
                </w:p>
              </w:tc>
              <w:tc>
                <w:tcPr>
                  <w:tcW w:w="1519" w:type="dxa"/>
                  <w:tcBorders>
                    <w:top w:val="nil"/>
                    <w:left w:val="nil"/>
                    <w:bottom w:val="single" w:color="auto" w:sz="4" w:space="0"/>
                    <w:right w:val="single" w:color="auto" w:sz="4" w:space="0"/>
                  </w:tcBorders>
                  <w:shd w:val="clear" w:color="auto" w:fill="DAEEF3" w:themeFill="accent5" w:themeFillTint="33"/>
                  <w:noWrap/>
                  <w:vAlign w:val="center"/>
                </w:tcPr>
                <w:p w14:paraId="18279170">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680</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14:paraId="52B5D5F6">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422</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14:paraId="42D83164">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258</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14:paraId="42D0DC4F">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1.61 </w:t>
                  </w:r>
                </w:p>
              </w:tc>
            </w:tr>
            <w:tr w14:paraId="17FA47D9">
              <w:tblPrEx>
                <w:shd w:val="clear" w:color="auto" w:fill="DAEEF3" w:themeFill="accent5" w:themeFillTint="33"/>
                <w:tblCellMar>
                  <w:top w:w="0" w:type="dxa"/>
                  <w:left w:w="108" w:type="dxa"/>
                  <w:bottom w:w="0" w:type="dxa"/>
                  <w:right w:w="108" w:type="dxa"/>
                </w:tblCellMar>
              </w:tblPrEx>
              <w:trPr>
                <w:trHeight w:val="44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14:paraId="0ACC4871">
                  <w:pPr>
                    <w:jc w:val="center"/>
                    <w:rPr>
                      <w:rFonts w:hint="eastAsia"/>
                      <w:sz w:val="24"/>
                      <w:lang w:val="en-US" w:eastAsia="zh-CN"/>
                    </w:rPr>
                  </w:pPr>
                  <w:r>
                    <w:rPr>
                      <w:rFonts w:hint="eastAsia"/>
                      <w:sz w:val="24"/>
                      <w:lang w:val="en-US" w:eastAsia="zh-CN"/>
                    </w:rPr>
                    <w:t>2</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14:paraId="2DEE73A4">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电工</w:t>
                  </w:r>
                </w:p>
              </w:tc>
              <w:tc>
                <w:tcPr>
                  <w:tcW w:w="1494" w:type="dxa"/>
                  <w:tcBorders>
                    <w:top w:val="nil"/>
                    <w:left w:val="nil"/>
                    <w:bottom w:val="single" w:color="auto" w:sz="4" w:space="0"/>
                    <w:right w:val="single" w:color="auto" w:sz="4" w:space="0"/>
                  </w:tcBorders>
                  <w:shd w:val="clear" w:color="auto" w:fill="DAEEF3" w:themeFill="accent5" w:themeFillTint="33"/>
                  <w:noWrap/>
                  <w:vAlign w:val="center"/>
                </w:tcPr>
                <w:p w14:paraId="20332BBD">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6-31-01-03</w:t>
                  </w:r>
                </w:p>
              </w:tc>
              <w:tc>
                <w:tcPr>
                  <w:tcW w:w="1519" w:type="dxa"/>
                  <w:tcBorders>
                    <w:top w:val="nil"/>
                    <w:left w:val="nil"/>
                    <w:bottom w:val="single" w:color="auto" w:sz="4" w:space="0"/>
                    <w:right w:val="single" w:color="auto" w:sz="4" w:space="0"/>
                  </w:tcBorders>
                  <w:shd w:val="clear" w:color="auto" w:fill="DAEEF3" w:themeFill="accent5" w:themeFillTint="33"/>
                  <w:noWrap/>
                  <w:vAlign w:val="center"/>
                </w:tcPr>
                <w:p w14:paraId="68A2C729">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600</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14:paraId="31BA2278">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396</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14:paraId="7A3F70E1">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204</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14:paraId="1BD3E020">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1.52 </w:t>
                  </w:r>
                </w:p>
              </w:tc>
            </w:tr>
            <w:tr w14:paraId="08D2789D">
              <w:tblPrEx>
                <w:shd w:val="clear" w:color="auto" w:fill="DAEEF3" w:themeFill="accent5" w:themeFillTint="33"/>
                <w:tblCellMar>
                  <w:top w:w="0" w:type="dxa"/>
                  <w:left w:w="108" w:type="dxa"/>
                  <w:bottom w:w="0" w:type="dxa"/>
                  <w:right w:w="108" w:type="dxa"/>
                </w:tblCellMar>
              </w:tblPrEx>
              <w:trPr>
                <w:trHeight w:val="44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14:paraId="5871B3C8">
                  <w:pPr>
                    <w:jc w:val="center"/>
                    <w:rPr>
                      <w:rFonts w:hint="eastAsia"/>
                      <w:sz w:val="24"/>
                      <w:lang w:val="en-US" w:eastAsia="zh-CN"/>
                    </w:rPr>
                  </w:pPr>
                  <w:r>
                    <w:rPr>
                      <w:rFonts w:hint="eastAsia"/>
                      <w:sz w:val="24"/>
                      <w:lang w:val="en-US" w:eastAsia="zh-CN"/>
                    </w:rPr>
                    <w:t>3</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14:paraId="71306202">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包装工</w:t>
                  </w:r>
                </w:p>
              </w:tc>
              <w:tc>
                <w:tcPr>
                  <w:tcW w:w="1494" w:type="dxa"/>
                  <w:tcBorders>
                    <w:top w:val="nil"/>
                    <w:left w:val="nil"/>
                    <w:bottom w:val="single" w:color="auto" w:sz="4" w:space="0"/>
                    <w:right w:val="single" w:color="auto" w:sz="4" w:space="0"/>
                  </w:tcBorders>
                  <w:shd w:val="clear" w:color="auto" w:fill="DAEEF3" w:themeFill="accent5" w:themeFillTint="33"/>
                  <w:noWrap/>
                  <w:vAlign w:val="center"/>
                </w:tcPr>
                <w:p w14:paraId="02FF1959">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6-31-05-00</w:t>
                  </w:r>
                </w:p>
              </w:tc>
              <w:tc>
                <w:tcPr>
                  <w:tcW w:w="1519" w:type="dxa"/>
                  <w:tcBorders>
                    <w:top w:val="nil"/>
                    <w:left w:val="nil"/>
                    <w:bottom w:val="single" w:color="auto" w:sz="4" w:space="0"/>
                    <w:right w:val="single" w:color="auto" w:sz="4" w:space="0"/>
                  </w:tcBorders>
                  <w:shd w:val="clear" w:color="auto" w:fill="DAEEF3" w:themeFill="accent5" w:themeFillTint="33"/>
                  <w:noWrap/>
                  <w:vAlign w:val="center"/>
                </w:tcPr>
                <w:p w14:paraId="02F551CE">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570</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14:paraId="5A54A030">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380</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14:paraId="025193B1">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190</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14:paraId="326D97D3">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1.50 </w:t>
                  </w:r>
                </w:p>
              </w:tc>
            </w:tr>
            <w:tr w14:paraId="0108D647">
              <w:tblPrEx>
                <w:shd w:val="clear" w:color="auto" w:fill="DAEEF3" w:themeFill="accent5" w:themeFillTint="33"/>
                <w:tblCellMar>
                  <w:top w:w="0" w:type="dxa"/>
                  <w:left w:w="108" w:type="dxa"/>
                  <w:bottom w:w="0" w:type="dxa"/>
                  <w:right w:w="108" w:type="dxa"/>
                </w:tblCellMar>
              </w:tblPrEx>
              <w:trPr>
                <w:trHeight w:val="44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14:paraId="52490B73">
                  <w:pPr>
                    <w:jc w:val="center"/>
                    <w:rPr>
                      <w:rFonts w:hint="eastAsia"/>
                      <w:sz w:val="24"/>
                      <w:lang w:val="en-US" w:eastAsia="zh-CN"/>
                    </w:rPr>
                  </w:pPr>
                  <w:r>
                    <w:rPr>
                      <w:rFonts w:hint="eastAsia"/>
                      <w:sz w:val="24"/>
                      <w:lang w:val="en-US" w:eastAsia="zh-CN"/>
                    </w:rPr>
                    <w:t>4</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14:paraId="4A6D3A83">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冲压工</w:t>
                  </w:r>
                </w:p>
              </w:tc>
              <w:tc>
                <w:tcPr>
                  <w:tcW w:w="1494" w:type="dxa"/>
                  <w:tcBorders>
                    <w:top w:val="nil"/>
                    <w:left w:val="nil"/>
                    <w:bottom w:val="single" w:color="auto" w:sz="4" w:space="0"/>
                    <w:right w:val="single" w:color="auto" w:sz="4" w:space="0"/>
                  </w:tcBorders>
                  <w:shd w:val="clear" w:color="auto" w:fill="DAEEF3" w:themeFill="accent5" w:themeFillTint="33"/>
                  <w:noWrap/>
                  <w:vAlign w:val="center"/>
                </w:tcPr>
                <w:p w14:paraId="32135510">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6-18-01-12</w:t>
                  </w:r>
                </w:p>
              </w:tc>
              <w:tc>
                <w:tcPr>
                  <w:tcW w:w="1519" w:type="dxa"/>
                  <w:tcBorders>
                    <w:top w:val="nil"/>
                    <w:left w:val="nil"/>
                    <w:bottom w:val="nil"/>
                    <w:right w:val="single" w:color="auto" w:sz="4" w:space="0"/>
                  </w:tcBorders>
                  <w:shd w:val="clear" w:color="auto" w:fill="DAEEF3" w:themeFill="accent5" w:themeFillTint="33"/>
                  <w:noWrap/>
                  <w:vAlign w:val="center"/>
                </w:tcPr>
                <w:p w14:paraId="00007549">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500</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14:paraId="19D66510">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328</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14:paraId="15AEC7DF">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172</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14:paraId="3585C823">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1.52 </w:t>
                  </w:r>
                </w:p>
              </w:tc>
            </w:tr>
            <w:tr w14:paraId="06514B7F">
              <w:tblPrEx>
                <w:shd w:val="clear" w:color="auto" w:fill="DAEEF3" w:themeFill="accent5" w:themeFillTint="33"/>
                <w:tblCellMar>
                  <w:top w:w="0" w:type="dxa"/>
                  <w:left w:w="108" w:type="dxa"/>
                  <w:bottom w:w="0" w:type="dxa"/>
                  <w:right w:w="108" w:type="dxa"/>
                </w:tblCellMar>
              </w:tblPrEx>
              <w:trPr>
                <w:trHeight w:val="44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14:paraId="7C3576F8">
                  <w:pPr>
                    <w:jc w:val="center"/>
                    <w:rPr>
                      <w:rFonts w:hint="eastAsia"/>
                      <w:sz w:val="24"/>
                      <w:lang w:val="en-US" w:eastAsia="zh-CN"/>
                    </w:rPr>
                  </w:pPr>
                  <w:r>
                    <w:rPr>
                      <w:rFonts w:hint="eastAsia"/>
                      <w:sz w:val="24"/>
                      <w:lang w:val="en-US" w:eastAsia="zh-CN"/>
                    </w:rPr>
                    <w:t>5</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14:paraId="4ECB196B">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缝纫工</w:t>
                  </w:r>
                </w:p>
              </w:tc>
              <w:tc>
                <w:tcPr>
                  <w:tcW w:w="1494" w:type="dxa"/>
                  <w:tcBorders>
                    <w:top w:val="nil"/>
                    <w:left w:val="nil"/>
                    <w:bottom w:val="single" w:color="auto" w:sz="4" w:space="0"/>
                    <w:right w:val="single" w:color="auto" w:sz="4" w:space="0"/>
                  </w:tcBorders>
                  <w:shd w:val="clear" w:color="auto" w:fill="DAEEF3" w:themeFill="accent5" w:themeFillTint="33"/>
                  <w:noWrap/>
                  <w:vAlign w:val="center"/>
                </w:tcPr>
                <w:p w14:paraId="551540FD">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6-05-01-03</w:t>
                  </w:r>
                </w:p>
              </w:tc>
              <w:tc>
                <w:tcPr>
                  <w:tcW w:w="1519" w:type="dxa"/>
                  <w:tcBorders>
                    <w:top w:val="single" w:color="auto" w:sz="4" w:space="0"/>
                    <w:left w:val="nil"/>
                    <w:bottom w:val="single" w:color="auto" w:sz="4" w:space="0"/>
                    <w:right w:val="single" w:color="auto" w:sz="4" w:space="0"/>
                  </w:tcBorders>
                  <w:shd w:val="clear" w:color="auto" w:fill="DAEEF3" w:themeFill="accent5" w:themeFillTint="33"/>
                  <w:noWrap/>
                  <w:vAlign w:val="center"/>
                </w:tcPr>
                <w:p w14:paraId="0A241C47">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560</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14:paraId="1C16AAC8">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398</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14:paraId="3280E151">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162</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14:paraId="7B833502">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1.41 </w:t>
                  </w:r>
                </w:p>
              </w:tc>
            </w:tr>
            <w:tr w14:paraId="634188B4">
              <w:tblPrEx>
                <w:shd w:val="clear" w:color="auto" w:fill="DAEEF3" w:themeFill="accent5" w:themeFillTint="33"/>
                <w:tblCellMar>
                  <w:top w:w="0" w:type="dxa"/>
                  <w:left w:w="108" w:type="dxa"/>
                  <w:bottom w:w="0" w:type="dxa"/>
                  <w:right w:w="108" w:type="dxa"/>
                </w:tblCellMar>
              </w:tblPrEx>
              <w:trPr>
                <w:trHeight w:val="44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14:paraId="6FB3E35C">
                  <w:pPr>
                    <w:jc w:val="center"/>
                    <w:rPr>
                      <w:rFonts w:hint="eastAsia"/>
                      <w:sz w:val="24"/>
                      <w:lang w:val="en-US" w:eastAsia="zh-CN"/>
                    </w:rPr>
                  </w:pPr>
                  <w:r>
                    <w:rPr>
                      <w:rFonts w:hint="eastAsia"/>
                      <w:sz w:val="24"/>
                      <w:lang w:val="en-US" w:eastAsia="zh-CN"/>
                    </w:rPr>
                    <w:t>6</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14:paraId="109D3AF9">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焊工</w:t>
                  </w:r>
                </w:p>
              </w:tc>
              <w:tc>
                <w:tcPr>
                  <w:tcW w:w="1494" w:type="dxa"/>
                  <w:tcBorders>
                    <w:top w:val="nil"/>
                    <w:left w:val="nil"/>
                    <w:bottom w:val="nil"/>
                    <w:right w:val="nil"/>
                  </w:tcBorders>
                  <w:shd w:val="clear" w:color="auto" w:fill="DAEEF3" w:themeFill="accent5" w:themeFillTint="33"/>
                  <w:noWrap/>
                  <w:vAlign w:val="center"/>
                </w:tcPr>
                <w:p w14:paraId="2806D27D">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6-18-02-04</w:t>
                  </w:r>
                </w:p>
              </w:tc>
              <w:tc>
                <w:tcPr>
                  <w:tcW w:w="1519" w:type="dxa"/>
                  <w:tcBorders>
                    <w:top w:val="nil"/>
                    <w:left w:val="single" w:color="auto" w:sz="4" w:space="0"/>
                    <w:bottom w:val="nil"/>
                    <w:right w:val="single" w:color="auto" w:sz="4" w:space="0"/>
                  </w:tcBorders>
                  <w:shd w:val="clear" w:color="auto" w:fill="DAEEF3" w:themeFill="accent5" w:themeFillTint="33"/>
                  <w:noWrap/>
                  <w:vAlign w:val="center"/>
                </w:tcPr>
                <w:p w14:paraId="2EE0A85A">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422</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14:paraId="5E60D88F">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270</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14:paraId="4075A958">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152</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14:paraId="53B13425">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1.56 </w:t>
                  </w:r>
                </w:p>
              </w:tc>
            </w:tr>
            <w:tr w14:paraId="464D37B1">
              <w:tblPrEx>
                <w:shd w:val="clear" w:color="auto" w:fill="DAEEF3" w:themeFill="accent5" w:themeFillTint="33"/>
                <w:tblCellMar>
                  <w:top w:w="0" w:type="dxa"/>
                  <w:left w:w="108" w:type="dxa"/>
                  <w:bottom w:w="0" w:type="dxa"/>
                  <w:right w:w="108" w:type="dxa"/>
                </w:tblCellMar>
              </w:tblPrEx>
              <w:trPr>
                <w:trHeight w:val="44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14:paraId="0AA171CA">
                  <w:pPr>
                    <w:jc w:val="center"/>
                    <w:rPr>
                      <w:rFonts w:hint="eastAsia"/>
                      <w:sz w:val="24"/>
                      <w:lang w:val="en-US" w:eastAsia="zh-CN"/>
                    </w:rPr>
                  </w:pPr>
                  <w:r>
                    <w:rPr>
                      <w:rFonts w:hint="eastAsia"/>
                      <w:sz w:val="24"/>
                      <w:lang w:val="en-US" w:eastAsia="zh-CN"/>
                    </w:rPr>
                    <w:t>7</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14:paraId="2433179C">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铣工</w:t>
                  </w:r>
                </w:p>
              </w:tc>
              <w:tc>
                <w:tcPr>
                  <w:tcW w:w="1494" w:type="dxa"/>
                  <w:tcBorders>
                    <w:top w:val="single" w:color="auto" w:sz="4" w:space="0"/>
                    <w:left w:val="nil"/>
                    <w:bottom w:val="single" w:color="auto" w:sz="4" w:space="0"/>
                    <w:right w:val="single" w:color="auto" w:sz="4" w:space="0"/>
                  </w:tcBorders>
                  <w:shd w:val="clear" w:color="auto" w:fill="DAEEF3" w:themeFill="accent5" w:themeFillTint="33"/>
                  <w:noWrap/>
                  <w:vAlign w:val="center"/>
                </w:tcPr>
                <w:p w14:paraId="52A2F494">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6-18-01-02</w:t>
                  </w:r>
                </w:p>
              </w:tc>
              <w:tc>
                <w:tcPr>
                  <w:tcW w:w="1519" w:type="dxa"/>
                  <w:tcBorders>
                    <w:top w:val="single" w:color="auto" w:sz="4" w:space="0"/>
                    <w:left w:val="nil"/>
                    <w:bottom w:val="single" w:color="auto" w:sz="4" w:space="0"/>
                    <w:right w:val="single" w:color="auto" w:sz="4" w:space="0"/>
                  </w:tcBorders>
                  <w:shd w:val="clear" w:color="auto" w:fill="DAEEF3" w:themeFill="accent5" w:themeFillTint="33"/>
                  <w:noWrap/>
                  <w:vAlign w:val="center"/>
                </w:tcPr>
                <w:p w14:paraId="341216B2">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324</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14:paraId="30025257">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198</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14:paraId="16364A69">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126</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14:paraId="67B9CD89">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1.64 </w:t>
                  </w:r>
                </w:p>
              </w:tc>
            </w:tr>
            <w:tr w14:paraId="1DEF4777">
              <w:tblPrEx>
                <w:shd w:val="clear" w:color="auto" w:fill="DAEEF3" w:themeFill="accent5" w:themeFillTint="33"/>
                <w:tblCellMar>
                  <w:top w:w="0" w:type="dxa"/>
                  <w:left w:w="108" w:type="dxa"/>
                  <w:bottom w:w="0" w:type="dxa"/>
                  <w:right w:w="108" w:type="dxa"/>
                </w:tblCellMar>
              </w:tblPrEx>
              <w:trPr>
                <w:trHeight w:val="44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14:paraId="17315F83">
                  <w:pPr>
                    <w:jc w:val="center"/>
                    <w:rPr>
                      <w:rFonts w:hint="eastAsia"/>
                      <w:sz w:val="24"/>
                      <w:lang w:val="en-US" w:eastAsia="zh-CN"/>
                    </w:rPr>
                  </w:pPr>
                  <w:r>
                    <w:rPr>
                      <w:rFonts w:hint="eastAsia"/>
                      <w:sz w:val="24"/>
                      <w:lang w:val="en-US" w:eastAsia="zh-CN"/>
                    </w:rPr>
                    <w:t>8</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14:paraId="16355310">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纺纱工</w:t>
                  </w:r>
                </w:p>
              </w:tc>
              <w:tc>
                <w:tcPr>
                  <w:tcW w:w="1494" w:type="dxa"/>
                  <w:tcBorders>
                    <w:top w:val="nil"/>
                    <w:left w:val="nil"/>
                    <w:bottom w:val="single" w:color="auto" w:sz="4" w:space="0"/>
                    <w:right w:val="single" w:color="auto" w:sz="4" w:space="0"/>
                  </w:tcBorders>
                  <w:shd w:val="clear" w:color="auto" w:fill="DAEEF3" w:themeFill="accent5" w:themeFillTint="33"/>
                  <w:noWrap/>
                  <w:vAlign w:val="center"/>
                </w:tcPr>
                <w:p w14:paraId="6379D679">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6-04-02-01</w:t>
                  </w:r>
                </w:p>
              </w:tc>
              <w:tc>
                <w:tcPr>
                  <w:tcW w:w="1519" w:type="dxa"/>
                  <w:tcBorders>
                    <w:top w:val="nil"/>
                    <w:left w:val="nil"/>
                    <w:bottom w:val="single" w:color="auto" w:sz="4" w:space="0"/>
                    <w:right w:val="single" w:color="auto" w:sz="4" w:space="0"/>
                  </w:tcBorders>
                  <w:shd w:val="clear" w:color="auto" w:fill="DAEEF3" w:themeFill="accent5" w:themeFillTint="33"/>
                  <w:noWrap/>
                  <w:vAlign w:val="center"/>
                </w:tcPr>
                <w:p w14:paraId="4EA346DE">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500</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14:paraId="13F2F5A8">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390</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14:paraId="328439C2">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110</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14:paraId="352502F8">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1.28 </w:t>
                  </w:r>
                </w:p>
              </w:tc>
            </w:tr>
            <w:tr w14:paraId="12A9520C">
              <w:tblPrEx>
                <w:shd w:val="clear" w:color="auto" w:fill="DAEEF3" w:themeFill="accent5" w:themeFillTint="33"/>
                <w:tblCellMar>
                  <w:top w:w="0" w:type="dxa"/>
                  <w:left w:w="108" w:type="dxa"/>
                  <w:bottom w:w="0" w:type="dxa"/>
                  <w:right w:w="108" w:type="dxa"/>
                </w:tblCellMar>
              </w:tblPrEx>
              <w:trPr>
                <w:trHeight w:val="44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14:paraId="7A69180E">
                  <w:pPr>
                    <w:jc w:val="center"/>
                    <w:rPr>
                      <w:rFonts w:hint="eastAsia"/>
                      <w:sz w:val="24"/>
                      <w:lang w:val="en-US" w:eastAsia="zh-CN"/>
                    </w:rPr>
                  </w:pPr>
                  <w:r>
                    <w:rPr>
                      <w:rFonts w:hint="eastAsia"/>
                      <w:sz w:val="24"/>
                      <w:lang w:val="en-US" w:eastAsia="zh-CN"/>
                    </w:rPr>
                    <w:t>9</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14:paraId="72494560">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机修钳工</w:t>
                  </w:r>
                </w:p>
              </w:tc>
              <w:tc>
                <w:tcPr>
                  <w:tcW w:w="1494" w:type="dxa"/>
                  <w:tcBorders>
                    <w:top w:val="nil"/>
                    <w:left w:val="nil"/>
                    <w:bottom w:val="single" w:color="auto" w:sz="4" w:space="0"/>
                    <w:right w:val="single" w:color="auto" w:sz="4" w:space="0"/>
                  </w:tcBorders>
                  <w:shd w:val="clear" w:color="auto" w:fill="DAEEF3" w:themeFill="accent5" w:themeFillTint="33"/>
                  <w:noWrap/>
                  <w:vAlign w:val="center"/>
                </w:tcPr>
                <w:p w14:paraId="5E274E7B">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6-31-01-02</w:t>
                  </w:r>
                </w:p>
              </w:tc>
              <w:tc>
                <w:tcPr>
                  <w:tcW w:w="1519" w:type="dxa"/>
                  <w:tcBorders>
                    <w:top w:val="nil"/>
                    <w:left w:val="nil"/>
                    <w:bottom w:val="single" w:color="auto" w:sz="4" w:space="0"/>
                    <w:right w:val="single" w:color="auto" w:sz="4" w:space="0"/>
                  </w:tcBorders>
                  <w:shd w:val="clear" w:color="auto" w:fill="DAEEF3" w:themeFill="accent5" w:themeFillTint="33"/>
                  <w:noWrap/>
                  <w:vAlign w:val="center"/>
                </w:tcPr>
                <w:p w14:paraId="161701B2">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276</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14:paraId="49FB1FBF">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230</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14:paraId="1AD90F5E">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46</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14:paraId="14675FDE">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1.20 </w:t>
                  </w:r>
                </w:p>
              </w:tc>
            </w:tr>
            <w:tr w14:paraId="51603B2E">
              <w:tblPrEx>
                <w:shd w:val="clear" w:color="auto" w:fill="DAEEF3" w:themeFill="accent5" w:themeFillTint="33"/>
                <w:tblCellMar>
                  <w:top w:w="0" w:type="dxa"/>
                  <w:left w:w="108" w:type="dxa"/>
                  <w:bottom w:w="0" w:type="dxa"/>
                  <w:right w:w="108" w:type="dxa"/>
                </w:tblCellMar>
              </w:tblPrEx>
              <w:trPr>
                <w:trHeight w:val="457"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14:paraId="67DCAB41">
                  <w:pPr>
                    <w:jc w:val="center"/>
                    <w:rPr>
                      <w:rFonts w:hint="eastAsia"/>
                      <w:sz w:val="24"/>
                      <w:lang w:val="en-US" w:eastAsia="zh-CN"/>
                    </w:rPr>
                  </w:pPr>
                  <w:r>
                    <w:rPr>
                      <w:rFonts w:hint="eastAsia"/>
                      <w:sz w:val="24"/>
                      <w:lang w:val="en-US" w:eastAsia="zh-CN"/>
                    </w:rPr>
                    <w:t>10</w:t>
                  </w:r>
                </w:p>
              </w:tc>
              <w:tc>
                <w:tcPr>
                  <w:tcW w:w="1872" w:type="dxa"/>
                  <w:tcBorders>
                    <w:top w:val="nil"/>
                    <w:left w:val="nil"/>
                    <w:bottom w:val="single" w:color="auto" w:sz="4" w:space="0"/>
                    <w:right w:val="single" w:color="auto" w:sz="4" w:space="0"/>
                  </w:tcBorders>
                  <w:shd w:val="clear" w:color="auto" w:fill="DAEEF3" w:themeFill="accent5" w:themeFillTint="33"/>
                  <w:noWrap/>
                  <w:vAlign w:val="center"/>
                </w:tcPr>
                <w:p w14:paraId="65F02BA5">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安全员</w:t>
                  </w:r>
                </w:p>
              </w:tc>
              <w:tc>
                <w:tcPr>
                  <w:tcW w:w="1494" w:type="dxa"/>
                  <w:tcBorders>
                    <w:top w:val="nil"/>
                    <w:left w:val="nil"/>
                    <w:bottom w:val="single" w:color="auto" w:sz="4" w:space="0"/>
                    <w:right w:val="single" w:color="auto" w:sz="4" w:space="0"/>
                  </w:tcBorders>
                  <w:shd w:val="clear" w:color="auto" w:fill="DAEEF3" w:themeFill="accent5" w:themeFillTint="33"/>
                  <w:noWrap/>
                  <w:vAlign w:val="center"/>
                </w:tcPr>
                <w:p w14:paraId="78D862D8">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6-31-06-00</w:t>
                  </w:r>
                </w:p>
              </w:tc>
              <w:tc>
                <w:tcPr>
                  <w:tcW w:w="1519" w:type="dxa"/>
                  <w:tcBorders>
                    <w:top w:val="nil"/>
                    <w:left w:val="nil"/>
                    <w:bottom w:val="single" w:color="auto" w:sz="4" w:space="0"/>
                    <w:right w:val="single" w:color="auto" w:sz="4" w:space="0"/>
                  </w:tcBorders>
                  <w:shd w:val="clear" w:color="auto" w:fill="DAEEF3" w:themeFill="accent5" w:themeFillTint="33"/>
                  <w:noWrap/>
                  <w:vAlign w:val="center"/>
                </w:tcPr>
                <w:p w14:paraId="1CCACBDE">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220</w:t>
                  </w:r>
                </w:p>
              </w:tc>
              <w:tc>
                <w:tcPr>
                  <w:tcW w:w="1350" w:type="dxa"/>
                  <w:tcBorders>
                    <w:top w:val="nil"/>
                    <w:left w:val="nil"/>
                    <w:bottom w:val="single" w:color="auto" w:sz="4" w:space="0"/>
                    <w:right w:val="single" w:color="auto" w:sz="4" w:space="0"/>
                  </w:tcBorders>
                  <w:shd w:val="clear" w:color="auto" w:fill="DAEEF3" w:themeFill="accent5" w:themeFillTint="33"/>
                  <w:noWrap/>
                  <w:vAlign w:val="center"/>
                </w:tcPr>
                <w:p w14:paraId="1B2CA660">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180</w:t>
                  </w:r>
                </w:p>
              </w:tc>
              <w:tc>
                <w:tcPr>
                  <w:tcW w:w="1012" w:type="dxa"/>
                  <w:tcBorders>
                    <w:top w:val="nil"/>
                    <w:left w:val="nil"/>
                    <w:bottom w:val="single" w:color="auto" w:sz="4" w:space="0"/>
                    <w:right w:val="single" w:color="auto" w:sz="4" w:space="0"/>
                  </w:tcBorders>
                  <w:shd w:val="clear" w:color="auto" w:fill="DAEEF3" w:themeFill="accent5" w:themeFillTint="33"/>
                  <w:noWrap/>
                  <w:vAlign w:val="center"/>
                </w:tcPr>
                <w:p w14:paraId="158EFFB4">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40</w:t>
                  </w:r>
                </w:p>
              </w:tc>
              <w:tc>
                <w:tcPr>
                  <w:tcW w:w="1183" w:type="dxa"/>
                  <w:tcBorders>
                    <w:top w:val="nil"/>
                    <w:left w:val="nil"/>
                    <w:bottom w:val="single" w:color="auto" w:sz="4" w:space="0"/>
                    <w:right w:val="single" w:color="auto" w:sz="4" w:space="0"/>
                  </w:tcBorders>
                  <w:shd w:val="clear" w:color="auto" w:fill="DAEEF3" w:themeFill="accent5" w:themeFillTint="33"/>
                  <w:noWrap/>
                  <w:vAlign w:val="center"/>
                </w:tcPr>
                <w:p w14:paraId="645144FD">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1.22 </w:t>
                  </w:r>
                </w:p>
              </w:tc>
            </w:tr>
          </w:tbl>
          <w:p w14:paraId="62AD52EF">
            <w:pPr>
              <w:widowControl/>
              <w:spacing w:line="360" w:lineRule="auto"/>
              <w:ind w:right="252" w:rightChars="120"/>
              <w:jc w:val="center"/>
              <w:rPr>
                <w:rFonts w:ascii="宋体" w:hAnsi="宋体"/>
                <w:color w:val="FF0000"/>
                <w:sz w:val="24"/>
              </w:rPr>
            </w:pPr>
          </w:p>
          <w:p w14:paraId="77F87D46">
            <w:pPr>
              <w:widowControl/>
              <w:spacing w:line="360" w:lineRule="auto"/>
              <w:ind w:right="252" w:rightChars="120"/>
              <w:jc w:val="center"/>
              <w:rPr>
                <w:rFonts w:ascii="宋体" w:hAnsi="宋体" w:cs="宋体"/>
                <w:b/>
                <w:bCs/>
                <w:color w:val="FF0000"/>
                <w:kern w:val="0"/>
                <w:sz w:val="24"/>
              </w:rPr>
            </w:pPr>
          </w:p>
        </w:tc>
      </w:tr>
    </w:tbl>
    <w:p w14:paraId="50D92696">
      <w:pPr>
        <w:adjustRightInd w:val="0"/>
        <w:snapToGrid w:val="0"/>
        <w:spacing w:line="360" w:lineRule="auto"/>
        <w:jc w:val="center"/>
        <w:rPr>
          <w:rFonts w:ascii="宋体" w:hAnsi="宋体"/>
          <w:sz w:val="24"/>
        </w:rPr>
      </w:pPr>
      <w:r>
        <w:rPr>
          <w:rFonts w:hint="eastAsia" w:ascii="宋体" w:hAnsi="宋体"/>
          <w:sz w:val="24"/>
        </w:rPr>
        <w:t>表</w:t>
      </w:r>
      <w:r>
        <w:rPr>
          <w:rFonts w:ascii="宋体" w:hAnsi="宋体"/>
          <w:sz w:val="24"/>
        </w:rPr>
        <w:t>7</w:t>
      </w:r>
      <w:r>
        <w:rPr>
          <w:rFonts w:hint="eastAsia" w:ascii="宋体" w:hAnsi="宋体"/>
          <w:sz w:val="24"/>
          <w:lang w:val="en-US" w:eastAsia="zh-CN"/>
        </w:rPr>
        <w:t>.</w:t>
      </w:r>
      <w:r>
        <w:rPr>
          <w:rFonts w:hint="eastAsia" w:ascii="宋体" w:hAnsi="宋体"/>
          <w:sz w:val="24"/>
        </w:rPr>
        <w:t>需求小于求职缺口最大的十个职业</w:t>
      </w:r>
    </w:p>
    <w:tbl>
      <w:tblPr>
        <w:tblStyle w:val="8"/>
        <w:tblW w:w="9555" w:type="dxa"/>
        <w:jc w:val="center"/>
        <w:shd w:val="clear" w:color="auto" w:fill="DAEEF3" w:themeFill="accent5" w:themeFillTint="33"/>
        <w:tblLayout w:type="fixed"/>
        <w:tblCellMar>
          <w:top w:w="0" w:type="dxa"/>
          <w:left w:w="108" w:type="dxa"/>
          <w:bottom w:w="0" w:type="dxa"/>
          <w:right w:w="108" w:type="dxa"/>
        </w:tblCellMar>
      </w:tblPr>
      <w:tblGrid>
        <w:gridCol w:w="458"/>
        <w:gridCol w:w="2199"/>
        <w:gridCol w:w="1487"/>
        <w:gridCol w:w="1487"/>
        <w:gridCol w:w="1487"/>
        <w:gridCol w:w="1126"/>
        <w:gridCol w:w="1311"/>
      </w:tblGrid>
      <w:tr w14:paraId="5340BC46">
        <w:tblPrEx>
          <w:tblCellMar>
            <w:top w:w="0" w:type="dxa"/>
            <w:left w:w="108" w:type="dxa"/>
            <w:bottom w:w="0" w:type="dxa"/>
            <w:right w:w="108" w:type="dxa"/>
          </w:tblCellMar>
        </w:tblPrEx>
        <w:trPr>
          <w:trHeight w:val="402" w:hRule="atLeast"/>
          <w:jc w:val="center"/>
        </w:trPr>
        <w:tc>
          <w:tcPr>
            <w:tcW w:w="2657" w:type="dxa"/>
            <w:gridSpan w:val="2"/>
            <w:vMerge w:val="restart"/>
            <w:tcBorders>
              <w:top w:val="single" w:color="auto" w:sz="4" w:space="0"/>
              <w:left w:val="single" w:color="auto" w:sz="4" w:space="0"/>
              <w:bottom w:val="single" w:color="auto" w:sz="4" w:space="0"/>
              <w:right w:val="single" w:color="auto" w:sz="4" w:space="0"/>
            </w:tcBorders>
            <w:shd w:val="clear" w:color="auto" w:fill="92CDDC" w:themeFill="accent5" w:themeFillTint="99"/>
            <w:noWrap/>
            <w:vAlign w:val="center"/>
          </w:tcPr>
          <w:p w14:paraId="324BC47A">
            <w:pPr>
              <w:widowControl/>
              <w:spacing w:line="360" w:lineRule="auto"/>
              <w:jc w:val="center"/>
              <w:rPr>
                <w:rFonts w:ascii="宋体" w:hAnsi="宋体" w:cs="宋体"/>
                <w:b/>
                <w:bCs/>
                <w:kern w:val="0"/>
                <w:sz w:val="24"/>
              </w:rPr>
            </w:pPr>
            <w:r>
              <w:rPr>
                <w:rFonts w:hint="eastAsia" w:ascii="宋体" w:hAnsi="宋体" w:cs="宋体"/>
                <w:b/>
                <w:bCs/>
                <w:kern w:val="0"/>
                <w:sz w:val="24"/>
              </w:rPr>
              <w:t>职业</w:t>
            </w:r>
          </w:p>
        </w:tc>
        <w:tc>
          <w:tcPr>
            <w:tcW w:w="1487" w:type="dxa"/>
            <w:vMerge w:val="restart"/>
            <w:tcBorders>
              <w:top w:val="single" w:color="auto" w:sz="4" w:space="0"/>
              <w:left w:val="single" w:color="auto" w:sz="4" w:space="0"/>
              <w:bottom w:val="single" w:color="auto" w:sz="4" w:space="0"/>
              <w:right w:val="single" w:color="auto" w:sz="4" w:space="0"/>
            </w:tcBorders>
            <w:shd w:val="clear" w:color="auto" w:fill="92CDDC" w:themeFill="accent5" w:themeFillTint="99"/>
            <w:noWrap/>
            <w:vAlign w:val="center"/>
          </w:tcPr>
          <w:p w14:paraId="281A574E">
            <w:pPr>
              <w:widowControl/>
              <w:spacing w:line="360" w:lineRule="auto"/>
              <w:jc w:val="center"/>
              <w:rPr>
                <w:rFonts w:ascii="宋体" w:hAnsi="宋体" w:cs="宋体"/>
                <w:b/>
                <w:bCs/>
                <w:kern w:val="0"/>
                <w:sz w:val="24"/>
              </w:rPr>
            </w:pPr>
            <w:r>
              <w:rPr>
                <w:rFonts w:hint="eastAsia" w:ascii="宋体" w:hAnsi="宋体" w:cs="宋体"/>
                <w:b/>
                <w:bCs/>
                <w:kern w:val="0"/>
                <w:sz w:val="24"/>
              </w:rPr>
              <w:t>职业代码</w:t>
            </w:r>
          </w:p>
        </w:tc>
        <w:tc>
          <w:tcPr>
            <w:tcW w:w="5411" w:type="dxa"/>
            <w:gridSpan w:val="4"/>
            <w:tcBorders>
              <w:top w:val="single" w:color="auto" w:sz="4" w:space="0"/>
              <w:left w:val="nil"/>
              <w:bottom w:val="single" w:color="auto" w:sz="4" w:space="0"/>
              <w:right w:val="single" w:color="auto" w:sz="4" w:space="0"/>
            </w:tcBorders>
            <w:shd w:val="clear" w:color="auto" w:fill="92CDDC" w:themeFill="accent5" w:themeFillTint="99"/>
            <w:noWrap/>
            <w:vAlign w:val="center"/>
          </w:tcPr>
          <w:p w14:paraId="1F65911F">
            <w:pPr>
              <w:widowControl/>
              <w:spacing w:line="360" w:lineRule="auto"/>
              <w:jc w:val="center"/>
              <w:rPr>
                <w:rFonts w:ascii="宋体" w:hAnsi="宋体" w:cs="宋体"/>
                <w:b/>
                <w:bCs/>
                <w:kern w:val="0"/>
                <w:sz w:val="24"/>
              </w:rPr>
            </w:pPr>
            <w:r>
              <w:rPr>
                <w:rFonts w:hint="eastAsia" w:ascii="宋体" w:hAnsi="宋体" w:cs="宋体"/>
                <w:b/>
                <w:bCs/>
                <w:kern w:val="0"/>
                <w:sz w:val="24"/>
              </w:rPr>
              <w:t>劳动力供求人数比较</w:t>
            </w:r>
          </w:p>
        </w:tc>
      </w:tr>
      <w:tr w14:paraId="2DB98C3B">
        <w:tblPrEx>
          <w:tblCellMar>
            <w:top w:w="0" w:type="dxa"/>
            <w:left w:w="108" w:type="dxa"/>
            <w:bottom w:w="0" w:type="dxa"/>
            <w:right w:w="108" w:type="dxa"/>
          </w:tblCellMar>
        </w:tblPrEx>
        <w:trPr>
          <w:trHeight w:val="390" w:hRule="atLeast"/>
          <w:jc w:val="center"/>
        </w:trPr>
        <w:tc>
          <w:tcPr>
            <w:tcW w:w="2657" w:type="dxa"/>
            <w:gridSpan w:val="2"/>
            <w:vMerge w:val="continue"/>
            <w:tcBorders>
              <w:top w:val="single" w:color="auto" w:sz="4" w:space="0"/>
              <w:left w:val="single" w:color="auto" w:sz="4" w:space="0"/>
              <w:bottom w:val="single" w:color="auto" w:sz="4" w:space="0"/>
              <w:right w:val="single" w:color="auto" w:sz="4" w:space="0"/>
            </w:tcBorders>
            <w:shd w:val="clear" w:color="auto" w:fill="92CDDC" w:themeFill="accent5" w:themeFillTint="99"/>
            <w:vAlign w:val="center"/>
          </w:tcPr>
          <w:p w14:paraId="482C9C21">
            <w:pPr>
              <w:widowControl/>
              <w:spacing w:line="360" w:lineRule="auto"/>
              <w:jc w:val="left"/>
              <w:rPr>
                <w:rFonts w:ascii="宋体" w:hAnsi="宋体" w:cs="宋体"/>
                <w:b/>
                <w:bCs/>
                <w:kern w:val="0"/>
                <w:sz w:val="24"/>
              </w:rPr>
            </w:pPr>
          </w:p>
        </w:tc>
        <w:tc>
          <w:tcPr>
            <w:tcW w:w="1487" w:type="dxa"/>
            <w:vMerge w:val="continue"/>
            <w:tcBorders>
              <w:top w:val="single" w:color="auto" w:sz="4" w:space="0"/>
              <w:left w:val="single" w:color="auto" w:sz="4" w:space="0"/>
              <w:bottom w:val="single" w:color="auto" w:sz="4" w:space="0"/>
              <w:right w:val="single" w:color="auto" w:sz="4" w:space="0"/>
            </w:tcBorders>
            <w:shd w:val="clear" w:color="auto" w:fill="92CDDC" w:themeFill="accent5" w:themeFillTint="99"/>
            <w:vAlign w:val="center"/>
          </w:tcPr>
          <w:p w14:paraId="663A958A">
            <w:pPr>
              <w:widowControl/>
              <w:spacing w:line="360" w:lineRule="auto"/>
              <w:jc w:val="left"/>
              <w:rPr>
                <w:rFonts w:ascii="宋体" w:hAnsi="宋体" w:cs="宋体"/>
                <w:b/>
                <w:bCs/>
                <w:kern w:val="0"/>
                <w:sz w:val="24"/>
              </w:rPr>
            </w:pPr>
          </w:p>
        </w:tc>
        <w:tc>
          <w:tcPr>
            <w:tcW w:w="1487" w:type="dxa"/>
            <w:tcBorders>
              <w:top w:val="nil"/>
              <w:left w:val="nil"/>
              <w:bottom w:val="single" w:color="auto" w:sz="4" w:space="0"/>
              <w:right w:val="single" w:color="auto" w:sz="4" w:space="0"/>
            </w:tcBorders>
            <w:shd w:val="clear" w:color="auto" w:fill="92CDDC" w:themeFill="accent5" w:themeFillTint="99"/>
            <w:noWrap/>
            <w:vAlign w:val="center"/>
          </w:tcPr>
          <w:p w14:paraId="7518B507">
            <w:pPr>
              <w:widowControl/>
              <w:spacing w:line="360" w:lineRule="auto"/>
              <w:jc w:val="center"/>
              <w:rPr>
                <w:rFonts w:ascii="宋体" w:hAnsi="宋体" w:cs="宋体"/>
                <w:b/>
                <w:bCs/>
                <w:kern w:val="0"/>
                <w:sz w:val="24"/>
              </w:rPr>
            </w:pPr>
            <w:r>
              <w:rPr>
                <w:rFonts w:hint="eastAsia" w:ascii="宋体" w:hAnsi="宋体" w:cs="宋体"/>
                <w:b/>
                <w:bCs/>
                <w:kern w:val="0"/>
                <w:sz w:val="24"/>
              </w:rPr>
              <w:t>需求人数</w:t>
            </w:r>
          </w:p>
        </w:tc>
        <w:tc>
          <w:tcPr>
            <w:tcW w:w="1487" w:type="dxa"/>
            <w:tcBorders>
              <w:top w:val="nil"/>
              <w:left w:val="nil"/>
              <w:bottom w:val="single" w:color="auto" w:sz="4" w:space="0"/>
              <w:right w:val="single" w:color="auto" w:sz="4" w:space="0"/>
            </w:tcBorders>
            <w:shd w:val="clear" w:color="auto" w:fill="92CDDC" w:themeFill="accent5" w:themeFillTint="99"/>
            <w:noWrap/>
            <w:vAlign w:val="center"/>
          </w:tcPr>
          <w:p w14:paraId="3ADE0D4E">
            <w:pPr>
              <w:widowControl/>
              <w:spacing w:line="360" w:lineRule="auto"/>
              <w:jc w:val="center"/>
              <w:rPr>
                <w:rFonts w:ascii="宋体" w:hAnsi="宋体" w:cs="宋体"/>
                <w:b/>
                <w:bCs/>
                <w:kern w:val="0"/>
                <w:sz w:val="24"/>
              </w:rPr>
            </w:pPr>
            <w:r>
              <w:rPr>
                <w:rFonts w:hint="eastAsia" w:ascii="宋体" w:hAnsi="宋体" w:cs="宋体"/>
                <w:b/>
                <w:bCs/>
                <w:kern w:val="0"/>
                <w:sz w:val="24"/>
              </w:rPr>
              <w:t>求职人数</w:t>
            </w:r>
          </w:p>
        </w:tc>
        <w:tc>
          <w:tcPr>
            <w:tcW w:w="1126" w:type="dxa"/>
            <w:tcBorders>
              <w:top w:val="nil"/>
              <w:left w:val="nil"/>
              <w:bottom w:val="single" w:color="auto" w:sz="4" w:space="0"/>
              <w:right w:val="single" w:color="auto" w:sz="4" w:space="0"/>
            </w:tcBorders>
            <w:shd w:val="clear" w:color="auto" w:fill="92CDDC" w:themeFill="accent5" w:themeFillTint="99"/>
            <w:noWrap/>
            <w:vAlign w:val="center"/>
          </w:tcPr>
          <w:p w14:paraId="21AF3AF8">
            <w:pPr>
              <w:widowControl/>
              <w:spacing w:line="360" w:lineRule="auto"/>
              <w:jc w:val="center"/>
              <w:rPr>
                <w:rFonts w:ascii="宋体" w:hAnsi="宋体" w:cs="宋体"/>
                <w:b/>
                <w:bCs/>
                <w:kern w:val="0"/>
                <w:sz w:val="24"/>
              </w:rPr>
            </w:pPr>
            <w:r>
              <w:rPr>
                <w:rFonts w:hint="eastAsia" w:ascii="宋体" w:hAnsi="宋体" w:cs="宋体"/>
                <w:b/>
                <w:bCs/>
                <w:kern w:val="0"/>
                <w:sz w:val="24"/>
              </w:rPr>
              <w:t>缺口数</w:t>
            </w:r>
          </w:p>
        </w:tc>
        <w:tc>
          <w:tcPr>
            <w:tcW w:w="1311" w:type="dxa"/>
            <w:tcBorders>
              <w:top w:val="nil"/>
              <w:left w:val="nil"/>
              <w:bottom w:val="single" w:color="auto" w:sz="4" w:space="0"/>
              <w:right w:val="single" w:color="auto" w:sz="4" w:space="0"/>
            </w:tcBorders>
            <w:shd w:val="clear" w:color="auto" w:fill="92CDDC" w:themeFill="accent5" w:themeFillTint="99"/>
            <w:noWrap/>
            <w:vAlign w:val="center"/>
          </w:tcPr>
          <w:p w14:paraId="2905D8D0">
            <w:pPr>
              <w:widowControl/>
              <w:spacing w:line="360" w:lineRule="auto"/>
              <w:jc w:val="center"/>
              <w:rPr>
                <w:rFonts w:ascii="宋体" w:hAnsi="宋体" w:cs="宋体"/>
                <w:b/>
                <w:bCs/>
                <w:kern w:val="0"/>
                <w:sz w:val="24"/>
              </w:rPr>
            </w:pPr>
            <w:r>
              <w:rPr>
                <w:rFonts w:hint="eastAsia" w:ascii="宋体" w:hAnsi="宋体" w:cs="宋体"/>
                <w:b/>
                <w:bCs/>
                <w:kern w:val="0"/>
                <w:sz w:val="24"/>
              </w:rPr>
              <w:t>求人倍率</w:t>
            </w:r>
          </w:p>
        </w:tc>
      </w:tr>
      <w:tr w14:paraId="5F860D60">
        <w:tblPrEx>
          <w:tblCellMar>
            <w:top w:w="0" w:type="dxa"/>
            <w:left w:w="108" w:type="dxa"/>
            <w:bottom w:w="0" w:type="dxa"/>
            <w:right w:w="108" w:type="dxa"/>
          </w:tblCellMar>
        </w:tblPrEx>
        <w:trPr>
          <w:trHeight w:val="390"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14:paraId="50B2BEE1">
            <w:pPr>
              <w:widowControl/>
              <w:spacing w:line="360" w:lineRule="auto"/>
              <w:jc w:val="center"/>
              <w:rPr>
                <w:rFonts w:ascii="宋体" w:hAnsi="宋体" w:cs="宋体"/>
                <w:b/>
                <w:bCs/>
                <w:kern w:val="0"/>
                <w:sz w:val="24"/>
              </w:rPr>
            </w:pPr>
            <w:r>
              <w:rPr>
                <w:rFonts w:hint="eastAsia" w:ascii="宋体" w:hAnsi="宋体" w:cs="宋体"/>
                <w:b/>
                <w:bCs/>
                <w:kern w:val="0"/>
                <w:sz w:val="24"/>
              </w:rPr>
              <w:t>1</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14:paraId="07BFC4BB">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行政办事员</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5A88B4EE">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3-01-01-01</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1BDAEB32">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150</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7BEDE495">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435</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14:paraId="3268495A">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-285</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14:paraId="0852E670">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0.34 </w:t>
            </w:r>
          </w:p>
        </w:tc>
      </w:tr>
      <w:tr w14:paraId="48EFDDDF">
        <w:tblPrEx>
          <w:tblCellMar>
            <w:top w:w="0" w:type="dxa"/>
            <w:left w:w="108" w:type="dxa"/>
            <w:bottom w:w="0" w:type="dxa"/>
            <w:right w:w="108" w:type="dxa"/>
          </w:tblCellMar>
        </w:tblPrEx>
        <w:trPr>
          <w:trHeight w:val="390"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14:paraId="491DDD1E">
            <w:pPr>
              <w:widowControl/>
              <w:spacing w:line="360" w:lineRule="auto"/>
              <w:jc w:val="center"/>
              <w:rPr>
                <w:rFonts w:ascii="宋体" w:hAnsi="宋体" w:cs="宋体"/>
                <w:b/>
                <w:bCs/>
                <w:kern w:val="0"/>
                <w:sz w:val="24"/>
              </w:rPr>
            </w:pPr>
            <w:r>
              <w:rPr>
                <w:rFonts w:hint="eastAsia" w:ascii="宋体" w:hAnsi="宋体" w:cs="宋体"/>
                <w:b/>
                <w:bCs/>
                <w:kern w:val="0"/>
                <w:sz w:val="24"/>
              </w:rPr>
              <w:t>2</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14:paraId="738CE527">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人力资源管理专业人员</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335182D7">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2-06-08-01</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3FCE1C2F">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120</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1931FDB5">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390</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14:paraId="34925F2B">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-270</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14:paraId="1282F16E">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0.31 </w:t>
            </w:r>
          </w:p>
        </w:tc>
      </w:tr>
      <w:tr w14:paraId="46AFAEA9">
        <w:tblPrEx>
          <w:tblCellMar>
            <w:top w:w="0" w:type="dxa"/>
            <w:left w:w="108" w:type="dxa"/>
            <w:bottom w:w="0" w:type="dxa"/>
            <w:right w:w="108" w:type="dxa"/>
          </w:tblCellMar>
        </w:tblPrEx>
        <w:trPr>
          <w:trHeight w:val="390"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14:paraId="4C896BBF">
            <w:pPr>
              <w:widowControl/>
              <w:spacing w:line="360" w:lineRule="auto"/>
              <w:jc w:val="center"/>
              <w:rPr>
                <w:rFonts w:ascii="宋体" w:hAnsi="宋体" w:cs="宋体"/>
                <w:b/>
                <w:bCs/>
                <w:kern w:val="0"/>
                <w:sz w:val="24"/>
              </w:rPr>
            </w:pPr>
            <w:r>
              <w:rPr>
                <w:rFonts w:hint="eastAsia" w:ascii="宋体" w:hAnsi="宋体" w:cs="宋体"/>
                <w:b/>
                <w:bCs/>
                <w:kern w:val="0"/>
                <w:sz w:val="24"/>
              </w:rPr>
              <w:t>3</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14:paraId="4FE3E94D">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物业管理员</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464A17F9">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4-06-01-01</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7F2F1E72">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165</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335D21ED">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420</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14:paraId="75336A3E">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-255</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14:paraId="4D4E3EB2">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0.39 </w:t>
            </w:r>
          </w:p>
        </w:tc>
      </w:tr>
      <w:tr w14:paraId="36DBA26B">
        <w:tblPrEx>
          <w:shd w:val="clear" w:color="auto" w:fill="DAEEF3" w:themeFill="accent5" w:themeFillTint="33"/>
          <w:tblCellMar>
            <w:top w:w="0" w:type="dxa"/>
            <w:left w:w="108" w:type="dxa"/>
            <w:bottom w:w="0" w:type="dxa"/>
            <w:right w:w="108" w:type="dxa"/>
          </w:tblCellMar>
        </w:tblPrEx>
        <w:trPr>
          <w:trHeight w:val="402"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14:paraId="78CC4CFF">
            <w:pPr>
              <w:widowControl/>
              <w:spacing w:line="360" w:lineRule="auto"/>
              <w:jc w:val="center"/>
              <w:rPr>
                <w:rFonts w:ascii="宋体" w:hAnsi="宋体" w:cs="宋体"/>
                <w:b/>
                <w:bCs/>
                <w:kern w:val="0"/>
                <w:sz w:val="24"/>
              </w:rPr>
            </w:pPr>
            <w:r>
              <w:rPr>
                <w:rFonts w:hint="eastAsia" w:ascii="宋体" w:hAnsi="宋体" w:cs="宋体"/>
                <w:b/>
                <w:bCs/>
                <w:kern w:val="0"/>
                <w:sz w:val="24"/>
              </w:rPr>
              <w:t>4</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14:paraId="6020430B">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广告设计师</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149B6A7A">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4-08-08-08</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13C90DB5">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162</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76B705CD">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372</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14:paraId="6754D2BD">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-210</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14:paraId="455A40C0">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0.44 </w:t>
            </w:r>
          </w:p>
        </w:tc>
      </w:tr>
      <w:tr w14:paraId="304BDDA5">
        <w:tblPrEx>
          <w:shd w:val="clear" w:color="auto" w:fill="DAEEF3" w:themeFill="accent5" w:themeFillTint="33"/>
          <w:tblCellMar>
            <w:top w:w="0" w:type="dxa"/>
            <w:left w:w="108" w:type="dxa"/>
            <w:bottom w:w="0" w:type="dxa"/>
            <w:right w:w="108" w:type="dxa"/>
          </w:tblCellMar>
        </w:tblPrEx>
        <w:trPr>
          <w:trHeight w:val="402"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14:paraId="6A3E52D6">
            <w:pPr>
              <w:widowControl/>
              <w:spacing w:line="360" w:lineRule="auto"/>
              <w:jc w:val="center"/>
              <w:rPr>
                <w:rFonts w:ascii="宋体" w:hAnsi="宋体" w:cs="宋体"/>
                <w:b/>
                <w:bCs/>
                <w:kern w:val="0"/>
                <w:sz w:val="24"/>
              </w:rPr>
            </w:pPr>
            <w:r>
              <w:rPr>
                <w:rFonts w:hint="eastAsia" w:ascii="宋体" w:hAnsi="宋体" w:cs="宋体"/>
                <w:b/>
                <w:bCs/>
                <w:kern w:val="0"/>
                <w:sz w:val="24"/>
              </w:rPr>
              <w:t>5</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14:paraId="475A14E2">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仓储管理员</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24965669">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4-02-06-01</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062B1133">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81</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6AFFF344">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273</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14:paraId="212B12E2">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-192</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14:paraId="3E1725CE">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0.30 </w:t>
            </w:r>
          </w:p>
        </w:tc>
      </w:tr>
      <w:tr w14:paraId="5065A26F">
        <w:tblPrEx>
          <w:shd w:val="clear" w:color="auto" w:fill="DAEEF3" w:themeFill="accent5" w:themeFillTint="33"/>
          <w:tblCellMar>
            <w:top w:w="0" w:type="dxa"/>
            <w:left w:w="108" w:type="dxa"/>
            <w:bottom w:w="0" w:type="dxa"/>
            <w:right w:w="108" w:type="dxa"/>
          </w:tblCellMar>
        </w:tblPrEx>
        <w:trPr>
          <w:trHeight w:val="402"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14:paraId="6E1D3DF0">
            <w:pPr>
              <w:widowControl/>
              <w:spacing w:line="360" w:lineRule="auto"/>
              <w:jc w:val="center"/>
              <w:rPr>
                <w:rFonts w:ascii="宋体" w:hAnsi="宋体" w:cs="宋体"/>
                <w:b/>
                <w:bCs/>
                <w:kern w:val="0"/>
                <w:sz w:val="24"/>
              </w:rPr>
            </w:pPr>
            <w:r>
              <w:rPr>
                <w:rFonts w:hint="eastAsia" w:ascii="宋体" w:hAnsi="宋体" w:cs="宋体"/>
                <w:b/>
                <w:bCs/>
                <w:kern w:val="0"/>
                <w:sz w:val="24"/>
              </w:rPr>
              <w:t>6</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14:paraId="25F4C984">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数字媒体艺术专业人员</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769507BA">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2-09-06-07</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0BD42271">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93</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0987D8D0">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252</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14:paraId="3A8B3022">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-159</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14:paraId="24523E8D">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0.37 </w:t>
            </w:r>
          </w:p>
        </w:tc>
      </w:tr>
      <w:tr w14:paraId="30E82799">
        <w:tblPrEx>
          <w:shd w:val="clear" w:color="auto" w:fill="DAEEF3" w:themeFill="accent5" w:themeFillTint="33"/>
          <w:tblCellMar>
            <w:top w:w="0" w:type="dxa"/>
            <w:left w:w="108" w:type="dxa"/>
            <w:bottom w:w="0" w:type="dxa"/>
            <w:right w:w="108" w:type="dxa"/>
          </w:tblCellMar>
        </w:tblPrEx>
        <w:trPr>
          <w:trHeight w:val="402"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14:paraId="7CF8629D">
            <w:pPr>
              <w:widowControl/>
              <w:spacing w:line="360" w:lineRule="auto"/>
              <w:jc w:val="center"/>
              <w:rPr>
                <w:rFonts w:ascii="宋体" w:hAnsi="宋体" w:cs="宋体"/>
                <w:b/>
                <w:bCs/>
                <w:kern w:val="0"/>
                <w:sz w:val="24"/>
              </w:rPr>
            </w:pPr>
            <w:r>
              <w:rPr>
                <w:rFonts w:hint="eastAsia" w:ascii="宋体" w:hAnsi="宋体" w:cs="宋体"/>
                <w:b/>
                <w:bCs/>
                <w:kern w:val="0"/>
                <w:sz w:val="24"/>
              </w:rPr>
              <w:t>7</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14:paraId="27C00740">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会计专业人员</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08AEB9EE">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2-06-03-00</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689E7D4E">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186</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02C8D471">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282</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14:paraId="6D9E68D5">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-96</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14:paraId="65236F58">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0.66 </w:t>
            </w:r>
          </w:p>
        </w:tc>
      </w:tr>
      <w:tr w14:paraId="1A6271DB">
        <w:tblPrEx>
          <w:shd w:val="clear" w:color="auto" w:fill="DAEEF3" w:themeFill="accent5" w:themeFillTint="33"/>
          <w:tblCellMar>
            <w:top w:w="0" w:type="dxa"/>
            <w:left w:w="108" w:type="dxa"/>
            <w:bottom w:w="0" w:type="dxa"/>
            <w:right w:w="108" w:type="dxa"/>
          </w:tblCellMar>
        </w:tblPrEx>
        <w:trPr>
          <w:trHeight w:val="402"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14:paraId="4F1D738B">
            <w:pPr>
              <w:widowControl/>
              <w:spacing w:line="360" w:lineRule="auto"/>
              <w:jc w:val="center"/>
              <w:rPr>
                <w:rFonts w:ascii="宋体" w:hAnsi="宋体" w:cs="宋体"/>
                <w:b/>
                <w:bCs/>
                <w:kern w:val="0"/>
                <w:sz w:val="24"/>
              </w:rPr>
            </w:pPr>
            <w:r>
              <w:rPr>
                <w:rFonts w:hint="eastAsia" w:ascii="宋体" w:hAnsi="宋体" w:cs="宋体"/>
                <w:b/>
                <w:bCs/>
                <w:kern w:val="0"/>
                <w:sz w:val="24"/>
              </w:rPr>
              <w:t>8</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14:paraId="0F40485A">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证券交易员</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6AFA7FFA">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4-05-02-01</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101730A4">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105</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37204D44">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183</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14:paraId="63B408BE">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-78</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14:paraId="56DCF97C">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0.57 </w:t>
            </w:r>
          </w:p>
        </w:tc>
      </w:tr>
      <w:tr w14:paraId="5DD1C2F6">
        <w:tblPrEx>
          <w:tblCellMar>
            <w:top w:w="0" w:type="dxa"/>
            <w:left w:w="108" w:type="dxa"/>
            <w:bottom w:w="0" w:type="dxa"/>
            <w:right w:w="108" w:type="dxa"/>
          </w:tblCellMar>
        </w:tblPrEx>
        <w:trPr>
          <w:trHeight w:val="402"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14:paraId="2CFCD665">
            <w:pPr>
              <w:widowControl/>
              <w:spacing w:line="360" w:lineRule="auto"/>
              <w:jc w:val="center"/>
              <w:rPr>
                <w:rFonts w:ascii="宋体" w:hAnsi="宋体" w:cs="宋体"/>
                <w:b/>
                <w:bCs/>
                <w:kern w:val="0"/>
                <w:sz w:val="24"/>
              </w:rPr>
            </w:pPr>
            <w:r>
              <w:rPr>
                <w:rFonts w:hint="eastAsia" w:ascii="宋体" w:hAnsi="宋体" w:cs="宋体"/>
                <w:b/>
                <w:bCs/>
                <w:kern w:val="0"/>
                <w:sz w:val="24"/>
              </w:rPr>
              <w:t>9</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14:paraId="619E1799">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秘书</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59EF4EA0">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3-01-02-02</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3102075B">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57</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7E13B5C2">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123</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14:paraId="155C8B58">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-66</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14:paraId="6B1A1470">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0.46 </w:t>
            </w:r>
          </w:p>
        </w:tc>
      </w:tr>
      <w:tr w14:paraId="65B4D7E1">
        <w:tblPrEx>
          <w:shd w:val="clear" w:color="auto" w:fill="DAEEF3" w:themeFill="accent5" w:themeFillTint="33"/>
          <w:tblCellMar>
            <w:top w:w="0" w:type="dxa"/>
            <w:left w:w="108" w:type="dxa"/>
            <w:bottom w:w="0" w:type="dxa"/>
            <w:right w:w="108" w:type="dxa"/>
          </w:tblCellMar>
        </w:tblPrEx>
        <w:trPr>
          <w:trHeight w:val="402" w:hRule="atLeast"/>
          <w:jc w:val="center"/>
        </w:trPr>
        <w:tc>
          <w:tcPr>
            <w:tcW w:w="458" w:type="dxa"/>
            <w:tcBorders>
              <w:top w:val="nil"/>
              <w:left w:val="single" w:color="auto" w:sz="4" w:space="0"/>
              <w:bottom w:val="single" w:color="auto" w:sz="4" w:space="0"/>
              <w:right w:val="single" w:color="auto" w:sz="4" w:space="0"/>
            </w:tcBorders>
            <w:shd w:val="clear" w:color="auto" w:fill="DAEEF3" w:themeFill="accent5" w:themeFillTint="33"/>
            <w:noWrap/>
            <w:vAlign w:val="center"/>
          </w:tcPr>
          <w:p w14:paraId="51EAEE98">
            <w:pPr>
              <w:widowControl/>
              <w:spacing w:line="360" w:lineRule="auto"/>
              <w:jc w:val="center"/>
              <w:rPr>
                <w:rFonts w:ascii="宋体" w:hAnsi="宋体" w:cs="宋体"/>
                <w:b/>
                <w:bCs/>
                <w:kern w:val="0"/>
                <w:sz w:val="24"/>
              </w:rPr>
            </w:pPr>
            <w:r>
              <w:rPr>
                <w:rFonts w:hint="eastAsia" w:ascii="宋体" w:hAnsi="宋体" w:cs="宋体"/>
                <w:b/>
                <w:bCs/>
                <w:kern w:val="0"/>
                <w:sz w:val="24"/>
              </w:rPr>
              <w:t>10</w:t>
            </w:r>
          </w:p>
        </w:tc>
        <w:tc>
          <w:tcPr>
            <w:tcW w:w="2199" w:type="dxa"/>
            <w:tcBorders>
              <w:top w:val="nil"/>
              <w:left w:val="nil"/>
              <w:bottom w:val="single" w:color="auto" w:sz="4" w:space="0"/>
              <w:right w:val="single" w:color="auto" w:sz="4" w:space="0"/>
            </w:tcBorders>
            <w:shd w:val="clear" w:color="auto" w:fill="DAEEF3" w:themeFill="accent5" w:themeFillTint="33"/>
            <w:noWrap/>
            <w:vAlign w:val="center"/>
          </w:tcPr>
          <w:p w14:paraId="282E5ADC">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采购员</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208D16A9">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4-01-01-01</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1AEB23BD">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84</w:t>
            </w:r>
          </w:p>
        </w:tc>
        <w:tc>
          <w:tcPr>
            <w:tcW w:w="1487" w:type="dxa"/>
            <w:tcBorders>
              <w:top w:val="nil"/>
              <w:left w:val="nil"/>
              <w:bottom w:val="single" w:color="auto" w:sz="4" w:space="0"/>
              <w:right w:val="single" w:color="auto" w:sz="4" w:space="0"/>
            </w:tcBorders>
            <w:shd w:val="clear" w:color="auto" w:fill="DAEEF3" w:themeFill="accent5" w:themeFillTint="33"/>
            <w:noWrap/>
            <w:vAlign w:val="center"/>
          </w:tcPr>
          <w:p w14:paraId="0255CC74">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135</w:t>
            </w:r>
          </w:p>
        </w:tc>
        <w:tc>
          <w:tcPr>
            <w:tcW w:w="1126" w:type="dxa"/>
            <w:tcBorders>
              <w:top w:val="nil"/>
              <w:left w:val="nil"/>
              <w:bottom w:val="single" w:color="auto" w:sz="4" w:space="0"/>
              <w:right w:val="single" w:color="auto" w:sz="4" w:space="0"/>
            </w:tcBorders>
            <w:shd w:val="clear" w:color="auto" w:fill="DAEEF3" w:themeFill="accent5" w:themeFillTint="33"/>
            <w:noWrap/>
            <w:vAlign w:val="center"/>
          </w:tcPr>
          <w:p w14:paraId="29031875">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-51</w:t>
            </w:r>
          </w:p>
        </w:tc>
        <w:tc>
          <w:tcPr>
            <w:tcW w:w="1311" w:type="dxa"/>
            <w:tcBorders>
              <w:top w:val="nil"/>
              <w:left w:val="nil"/>
              <w:bottom w:val="single" w:color="auto" w:sz="4" w:space="0"/>
              <w:right w:val="single" w:color="auto" w:sz="4" w:space="0"/>
            </w:tcBorders>
            <w:shd w:val="clear" w:color="auto" w:fill="DAEEF3" w:themeFill="accent5" w:themeFillTint="33"/>
            <w:noWrap/>
            <w:vAlign w:val="center"/>
          </w:tcPr>
          <w:p w14:paraId="5978EB11">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0"/>
                <w:szCs w:val="20"/>
                <w:u w:val="none"/>
                <w:lang w:val="en-US" w:eastAsia="zh-CN" w:bidi="ar"/>
              </w:rPr>
              <w:t xml:space="preserve">0.62 </w:t>
            </w:r>
          </w:p>
        </w:tc>
      </w:tr>
    </w:tbl>
    <w:p w14:paraId="23342325">
      <w:pPr>
        <w:adjustRightInd w:val="0"/>
        <w:snapToGrid w:val="0"/>
        <w:spacing w:line="360" w:lineRule="auto"/>
        <w:jc w:val="both"/>
        <w:rPr>
          <w:rFonts w:ascii="宋体" w:hAnsi="宋体"/>
          <w:sz w:val="24"/>
        </w:rPr>
      </w:pPr>
    </w:p>
    <w:p w14:paraId="0728BD1E">
      <w:pPr>
        <w:widowControl/>
        <w:spacing w:before="100" w:beforeAutospacing="1" w:after="100" w:afterAutospacing="1" w:line="360" w:lineRule="auto"/>
        <w:ind w:firstLine="480" w:firstLineChars="200"/>
        <w:jc w:val="left"/>
        <w:rPr>
          <w:rFonts w:ascii="宋体" w:hAnsi="宋体"/>
          <w:color w:val="FF0000"/>
          <w:sz w:val="24"/>
        </w:rPr>
      </w:pPr>
      <w:r>
        <w:rPr>
          <w:rFonts w:hint="eastAsia" w:ascii="宋体" w:hAnsi="宋体" w:cs="宋体"/>
          <w:kern w:val="0"/>
          <w:sz w:val="24"/>
        </w:rPr>
        <w:t>从表6、表7反映出，</w:t>
      </w:r>
      <w:r>
        <w:rPr>
          <w:rFonts w:hint="eastAsia" w:ascii="宋体" w:hAnsi="宋体" w:cs="宋体"/>
          <w:kern w:val="0"/>
          <w:sz w:val="24"/>
          <w:lang w:eastAsia="zh-CN"/>
        </w:rPr>
        <w:t>第二季度</w:t>
      </w:r>
      <w:r>
        <w:rPr>
          <w:rFonts w:hint="eastAsia" w:ascii="宋体" w:hAnsi="宋体" w:cs="宋体"/>
          <w:kern w:val="0"/>
          <w:sz w:val="24"/>
        </w:rPr>
        <w:t>需求缺口排名前三位的是：</w:t>
      </w:r>
      <w:r>
        <w:rPr>
          <w:rFonts w:hint="eastAsia" w:ascii="宋体" w:hAnsi="宋体" w:cs="宋体"/>
          <w:kern w:val="0"/>
          <w:sz w:val="24"/>
          <w:lang w:val="en-US" w:eastAsia="zh-CN"/>
        </w:rPr>
        <w:t>车工、电工</w:t>
      </w:r>
      <w:r>
        <w:rPr>
          <w:rFonts w:hint="eastAsia" w:ascii="宋体" w:hAnsi="宋体" w:cs="宋体"/>
          <w:kern w:val="0"/>
          <w:sz w:val="24"/>
        </w:rPr>
        <w:t>、</w:t>
      </w:r>
      <w:r>
        <w:rPr>
          <w:rFonts w:hint="eastAsia" w:ascii="宋体" w:hAnsi="宋体" w:cs="宋体"/>
          <w:kern w:val="0"/>
          <w:sz w:val="24"/>
          <w:lang w:val="en-US" w:eastAsia="zh-CN"/>
        </w:rPr>
        <w:t>包装</w:t>
      </w:r>
      <w:r>
        <w:rPr>
          <w:rFonts w:hint="eastAsia" w:ascii="宋体" w:hAnsi="宋体" w:cs="宋体"/>
          <w:kern w:val="0"/>
          <w:sz w:val="24"/>
        </w:rPr>
        <w:t>工，与去年同期及上期情况基本一致，说明这些工种需求量较大，亦与我市产业结构的分布吻合，</w:t>
      </w:r>
      <w:r>
        <w:rPr>
          <w:rFonts w:hint="eastAsia" w:ascii="宋体" w:hAnsi="宋体" w:cs="宋体"/>
          <w:kern w:val="0"/>
          <w:sz w:val="24"/>
          <w:lang w:val="en-US" w:eastAsia="zh-CN"/>
        </w:rPr>
        <w:t>车工、</w:t>
      </w:r>
      <w:r>
        <w:rPr>
          <w:rFonts w:hint="eastAsia" w:ascii="宋体" w:hAnsi="宋体" w:cs="宋体"/>
          <w:kern w:val="0"/>
          <w:sz w:val="24"/>
        </w:rPr>
        <w:t>一线操作工等工种依旧占我市人力资源市场需求的主体位置。</w:t>
      </w:r>
    </w:p>
    <w:p w14:paraId="4A1DE58C">
      <w:pPr>
        <w:adjustRightInd w:val="0"/>
        <w:snapToGrid w:val="0"/>
        <w:spacing w:line="360" w:lineRule="auto"/>
        <w:ind w:firstLine="482" w:firstLineChars="200"/>
        <w:rPr>
          <w:rFonts w:ascii="宋体" w:hAnsi="宋体"/>
          <w:b/>
          <w:sz w:val="24"/>
        </w:rPr>
      </w:pPr>
      <w:r>
        <w:rPr>
          <w:rFonts w:hint="eastAsia" w:ascii="宋体" w:hAnsi="宋体"/>
          <w:b/>
          <w:sz w:val="24"/>
        </w:rPr>
        <w:t>（五）</w:t>
      </w:r>
      <w:r>
        <w:rPr>
          <w:rFonts w:ascii="宋体" w:hAnsi="宋体"/>
          <w:b/>
          <w:sz w:val="24"/>
        </w:rPr>
        <w:t>求职人员分类</w:t>
      </w:r>
    </w:p>
    <w:p w14:paraId="608BA08B">
      <w:pPr>
        <w:adjustRightInd w:val="0"/>
        <w:snapToGrid w:val="0"/>
        <w:spacing w:line="360" w:lineRule="auto"/>
        <w:ind w:firstLine="480" w:firstLineChars="200"/>
        <w:rPr>
          <w:rFonts w:hint="eastAsia" w:ascii="宋体" w:hAnsi="宋体"/>
          <w:sz w:val="24"/>
        </w:rPr>
      </w:pPr>
      <w:r>
        <w:rPr>
          <w:rFonts w:hint="eastAsia" w:ascii="宋体" w:hAnsi="宋体" w:cs="宋体"/>
          <w:kern w:val="0"/>
          <w:sz w:val="24"/>
        </w:rPr>
        <w:t>根据求职人员类别分析，</w:t>
      </w:r>
      <w:r>
        <w:rPr>
          <w:rFonts w:hint="eastAsia" w:ascii="宋体" w:hAnsi="宋体" w:cs="宋体"/>
          <w:kern w:val="0"/>
          <w:sz w:val="24"/>
          <w:lang w:eastAsia="zh-CN"/>
        </w:rPr>
        <w:t>第二季度</w:t>
      </w:r>
      <w:r>
        <w:rPr>
          <w:rFonts w:hint="eastAsia" w:ascii="宋体" w:hAnsi="宋体" w:cs="宋体"/>
          <w:kern w:val="0"/>
          <w:sz w:val="24"/>
        </w:rPr>
        <w:t>中列前三位的求职者分别是外埠人员3</w:t>
      </w:r>
      <w:r>
        <w:rPr>
          <w:rFonts w:hint="eastAsia" w:ascii="宋体" w:hAnsi="宋体" w:cs="宋体"/>
          <w:kern w:val="0"/>
          <w:sz w:val="24"/>
          <w:lang w:val="en-US" w:eastAsia="zh-CN"/>
        </w:rPr>
        <w:t>1</w:t>
      </w:r>
      <w:r>
        <w:rPr>
          <w:rFonts w:hint="eastAsia" w:ascii="宋体" w:hAnsi="宋体" w:cs="宋体"/>
          <w:kern w:val="0"/>
          <w:sz w:val="24"/>
        </w:rPr>
        <w:t>.</w:t>
      </w:r>
      <w:r>
        <w:rPr>
          <w:rFonts w:hint="eastAsia" w:ascii="宋体" w:hAnsi="宋体" w:cs="宋体"/>
          <w:kern w:val="0"/>
          <w:sz w:val="24"/>
          <w:lang w:val="en-US" w:eastAsia="zh-CN"/>
        </w:rPr>
        <w:t>38</w:t>
      </w:r>
      <w:r>
        <w:rPr>
          <w:rFonts w:hint="eastAsia" w:ascii="宋体" w:hAnsi="宋体" w:cs="宋体"/>
          <w:kern w:val="0"/>
          <w:sz w:val="24"/>
        </w:rPr>
        <w:t>%，本市农村人员2</w:t>
      </w:r>
      <w:r>
        <w:rPr>
          <w:rFonts w:hint="eastAsia" w:ascii="宋体" w:hAnsi="宋体" w:cs="宋体"/>
          <w:kern w:val="0"/>
          <w:sz w:val="24"/>
          <w:lang w:val="en-US" w:eastAsia="zh-CN"/>
        </w:rPr>
        <w:t>1</w:t>
      </w:r>
      <w:r>
        <w:rPr>
          <w:rFonts w:hint="eastAsia" w:ascii="宋体" w:hAnsi="宋体" w:cs="宋体"/>
          <w:kern w:val="0"/>
          <w:sz w:val="24"/>
        </w:rPr>
        <w:t>.</w:t>
      </w:r>
      <w:r>
        <w:rPr>
          <w:rFonts w:hint="eastAsia" w:ascii="宋体" w:hAnsi="宋体" w:cs="宋体"/>
          <w:kern w:val="0"/>
          <w:sz w:val="24"/>
          <w:lang w:val="en-US" w:eastAsia="zh-CN"/>
        </w:rPr>
        <w:t>89</w:t>
      </w:r>
      <w:r>
        <w:rPr>
          <w:rFonts w:hint="eastAsia" w:ascii="宋体" w:hAnsi="宋体" w:cs="宋体"/>
          <w:kern w:val="0"/>
          <w:sz w:val="24"/>
        </w:rPr>
        <w:t>%，失业人员</w:t>
      </w:r>
      <w:r>
        <w:rPr>
          <w:rFonts w:hint="eastAsia" w:ascii="宋体" w:hAnsi="宋体" w:cs="宋体"/>
          <w:kern w:val="0"/>
          <w:sz w:val="24"/>
          <w:lang w:val="en-US" w:eastAsia="zh-CN"/>
        </w:rPr>
        <w:t>21</w:t>
      </w:r>
      <w:r>
        <w:rPr>
          <w:rFonts w:hint="eastAsia" w:ascii="宋体" w:hAnsi="宋体" w:cs="宋体"/>
          <w:kern w:val="0"/>
          <w:sz w:val="24"/>
        </w:rPr>
        <w:t>.</w:t>
      </w:r>
      <w:r>
        <w:rPr>
          <w:rFonts w:hint="eastAsia" w:ascii="宋体" w:hAnsi="宋体" w:cs="宋体"/>
          <w:kern w:val="0"/>
          <w:sz w:val="24"/>
          <w:lang w:val="en-US" w:eastAsia="zh-CN"/>
        </w:rPr>
        <w:t>84</w:t>
      </w:r>
      <w:r>
        <w:rPr>
          <w:rFonts w:hint="eastAsia" w:ascii="宋体" w:hAnsi="宋体" w:cs="宋体"/>
          <w:kern w:val="0"/>
          <w:sz w:val="24"/>
        </w:rPr>
        <w:t>%。这一情况与去年同期变化不大。说明求职者中，外来劳动力和本市农村人员一直占求职者的主体。</w:t>
      </w:r>
    </w:p>
    <w:p w14:paraId="33916986">
      <w:pPr>
        <w:adjustRightInd w:val="0"/>
        <w:snapToGrid w:val="0"/>
        <w:spacing w:line="360" w:lineRule="auto"/>
        <w:jc w:val="center"/>
        <w:rPr>
          <w:rFonts w:hint="eastAsia" w:ascii="宋体" w:hAnsi="宋体"/>
          <w:sz w:val="24"/>
        </w:rPr>
      </w:pPr>
    </w:p>
    <w:p w14:paraId="4B619F94">
      <w:pPr>
        <w:adjustRightInd w:val="0"/>
        <w:snapToGrid w:val="0"/>
        <w:spacing w:line="360" w:lineRule="auto"/>
        <w:jc w:val="center"/>
        <w:rPr>
          <w:rFonts w:ascii="宋体" w:hAnsi="宋体"/>
          <w:sz w:val="24"/>
        </w:rPr>
      </w:pPr>
      <w:r>
        <w:rPr>
          <w:rFonts w:hint="eastAsia" w:ascii="宋体" w:hAnsi="宋体"/>
          <w:sz w:val="24"/>
        </w:rPr>
        <w:t>表8</w:t>
      </w:r>
      <w:r>
        <w:rPr>
          <w:rFonts w:hint="eastAsia" w:ascii="宋体" w:hAnsi="宋体"/>
          <w:sz w:val="24"/>
          <w:lang w:val="en-US" w:eastAsia="zh-CN"/>
        </w:rPr>
        <w:t>.</w:t>
      </w:r>
      <w:r>
        <w:rPr>
          <w:rFonts w:ascii="宋体" w:hAnsi="宋体"/>
          <w:sz w:val="24"/>
        </w:rPr>
        <w:t>按求职人员类别分组的求职人数</w:t>
      </w:r>
    </w:p>
    <w:tbl>
      <w:tblPr>
        <w:tblStyle w:val="8"/>
        <w:tblW w:w="5783" w:type="dxa"/>
        <w:jc w:val="center"/>
        <w:tblCellSpacing w:w="0"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fixed"/>
        <w:tblCellMar>
          <w:top w:w="0" w:type="dxa"/>
          <w:left w:w="0" w:type="dxa"/>
          <w:bottom w:w="0" w:type="dxa"/>
          <w:right w:w="0" w:type="dxa"/>
        </w:tblCellMar>
      </w:tblPr>
      <w:tblGrid>
        <w:gridCol w:w="2190"/>
        <w:gridCol w:w="1796"/>
        <w:gridCol w:w="1797"/>
      </w:tblGrid>
      <w:tr w14:paraId="00F62B99">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FFFF99"/>
            <w:tcMar>
              <w:top w:w="15" w:type="dxa"/>
              <w:left w:w="15" w:type="dxa"/>
              <w:bottom w:w="15" w:type="dxa"/>
              <w:right w:w="15" w:type="dxa"/>
            </w:tcMar>
            <w:vAlign w:val="center"/>
          </w:tcPr>
          <w:p w14:paraId="3D0EBD95">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求职人员类别</w:t>
            </w:r>
          </w:p>
        </w:tc>
        <w:tc>
          <w:tcPr>
            <w:tcW w:w="1796" w:type="dxa"/>
            <w:tcBorders>
              <w:top w:val="single" w:color="auto" w:sz="8" w:space="0"/>
              <w:left w:val="single" w:color="000000" w:sz="8" w:space="0"/>
              <w:bottom w:val="single" w:color="auto" w:sz="8" w:space="0"/>
              <w:right w:val="single" w:color="auto" w:sz="8" w:space="0"/>
            </w:tcBorders>
            <w:shd w:val="clear" w:color="auto" w:fill="FFFF99"/>
            <w:tcMar>
              <w:top w:w="15" w:type="dxa"/>
              <w:left w:w="15" w:type="dxa"/>
              <w:bottom w:w="15" w:type="dxa"/>
              <w:right w:w="15" w:type="dxa"/>
            </w:tcMar>
            <w:vAlign w:val="center"/>
          </w:tcPr>
          <w:p w14:paraId="447BD2EA">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eastAsia="zh-CN"/>
              </w:rPr>
              <w:t>第二季度</w:t>
            </w:r>
          </w:p>
          <w:p w14:paraId="562AB3D5">
            <w:pPr>
              <w:widowControl/>
              <w:spacing w:line="360" w:lineRule="auto"/>
              <w:jc w:val="center"/>
              <w:rPr>
                <w:rFonts w:ascii="宋体" w:hAnsi="宋体" w:cs="宋体"/>
                <w:kern w:val="0"/>
                <w:sz w:val="24"/>
              </w:rPr>
            </w:pPr>
            <w:r>
              <w:rPr>
                <w:rFonts w:hint="eastAsia" w:ascii="宋体" w:hAnsi="宋体" w:cs="宋体"/>
                <w:kern w:val="0"/>
                <w:sz w:val="24"/>
              </w:rPr>
              <w:t>求职人数(人)</w:t>
            </w:r>
          </w:p>
        </w:tc>
        <w:tc>
          <w:tcPr>
            <w:tcW w:w="1797" w:type="dxa"/>
            <w:tcBorders>
              <w:top w:val="single" w:color="auto" w:sz="8" w:space="0"/>
              <w:left w:val="single" w:color="auto" w:sz="8" w:space="0"/>
              <w:bottom w:val="single" w:color="auto" w:sz="8" w:space="0"/>
              <w:right w:val="single" w:color="auto" w:sz="8" w:space="0"/>
            </w:tcBorders>
            <w:shd w:val="clear" w:color="auto" w:fill="FFFF99"/>
            <w:tcMar>
              <w:top w:w="15" w:type="dxa"/>
              <w:left w:w="15" w:type="dxa"/>
              <w:bottom w:w="15" w:type="dxa"/>
              <w:right w:w="15" w:type="dxa"/>
            </w:tcMar>
            <w:vAlign w:val="center"/>
          </w:tcPr>
          <w:p w14:paraId="46677FD7">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eastAsia="zh-CN"/>
              </w:rPr>
              <w:t>第二季度</w:t>
            </w:r>
          </w:p>
          <w:p w14:paraId="6C71ED4C">
            <w:pPr>
              <w:widowControl/>
              <w:spacing w:line="360" w:lineRule="auto"/>
              <w:jc w:val="center"/>
              <w:rPr>
                <w:rFonts w:ascii="宋体" w:hAnsi="宋体" w:cs="宋体"/>
                <w:kern w:val="0"/>
                <w:sz w:val="24"/>
              </w:rPr>
            </w:pPr>
            <w:r>
              <w:rPr>
                <w:rFonts w:hint="eastAsia" w:ascii="宋体" w:hAnsi="宋体" w:cs="宋体"/>
                <w:kern w:val="0"/>
                <w:sz w:val="24"/>
              </w:rPr>
              <w:t>所占比重(%)</w:t>
            </w:r>
          </w:p>
        </w:tc>
      </w:tr>
      <w:tr w14:paraId="17523C89">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14:paraId="2FD5AD05">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新成长失业青年</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14:paraId="4856472C">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7086</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14:paraId="318383DA">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16.15%</w:t>
            </w:r>
          </w:p>
        </w:tc>
      </w:tr>
      <w:tr w14:paraId="57367FAB">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14:paraId="3236B3EC">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其中：应届高校毕业生</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14:paraId="2B19ED1D">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6678</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14:paraId="7B1DDF75">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15.22%</w:t>
            </w:r>
          </w:p>
        </w:tc>
      </w:tr>
      <w:tr w14:paraId="44E0BBAA">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14:paraId="15E8EC2C">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失业人员</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14:paraId="24F9A96C">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9586</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14:paraId="1BCF9934">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21.84%</w:t>
            </w:r>
          </w:p>
        </w:tc>
      </w:tr>
      <w:tr w14:paraId="106F14B5">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14:paraId="495BF607">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在业人员</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14:paraId="6BA060C1">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3834</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14:paraId="1A018E93">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8.74%</w:t>
            </w:r>
          </w:p>
        </w:tc>
      </w:tr>
      <w:tr w14:paraId="10B5ABC4">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14:paraId="5ED592E7">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退休人员</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14:paraId="5AB582E1">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14:paraId="24F10A5C">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0.00%</w:t>
            </w:r>
          </w:p>
        </w:tc>
      </w:tr>
      <w:tr w14:paraId="279570A4">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14:paraId="01539640">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在学人员</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14:paraId="784A5764">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14:paraId="68A3BC15">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0.00%</w:t>
            </w:r>
          </w:p>
        </w:tc>
      </w:tr>
      <w:tr w14:paraId="16E481E3">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14:paraId="6C02A8FC">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本市农村人员</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14:paraId="2A193944">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9606</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14:paraId="5FCCA90D">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21.89%</w:t>
            </w:r>
          </w:p>
        </w:tc>
      </w:tr>
      <w:tr w14:paraId="1687EE8D">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14:paraId="391F5F54">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外埠人员</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14:paraId="7078262C">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13772</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14:paraId="65BC388E">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31.38%</w:t>
            </w:r>
          </w:p>
        </w:tc>
      </w:tr>
      <w:tr w14:paraId="3C3CDD00">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97" w:hRule="atLeast"/>
          <w:tblCellSpacing w:w="0" w:type="dxa"/>
          <w:jc w:val="center"/>
        </w:trPr>
        <w:tc>
          <w:tcPr>
            <w:tcW w:w="2190" w:type="dxa"/>
            <w:tcBorders>
              <w:top w:val="single" w:color="auto" w:sz="8" w:space="0"/>
              <w:left w:val="single" w:color="auto" w:sz="8" w:space="0"/>
              <w:bottom w:val="single" w:color="auto" w:sz="8" w:space="0"/>
              <w:right w:val="single" w:color="auto" w:sz="8" w:space="0"/>
            </w:tcBorders>
            <w:shd w:val="clear" w:color="auto" w:fill="CCFFCC"/>
            <w:tcMar>
              <w:top w:w="15" w:type="dxa"/>
              <w:left w:w="15" w:type="dxa"/>
              <w:bottom w:w="15" w:type="dxa"/>
              <w:right w:w="15" w:type="dxa"/>
            </w:tcMar>
            <w:vAlign w:val="center"/>
          </w:tcPr>
          <w:p w14:paraId="37A8DE19">
            <w:pPr>
              <w:widowControl/>
              <w:spacing w:before="100" w:beforeAutospacing="1" w:after="100" w:afterAutospacing="1" w:line="360" w:lineRule="auto"/>
              <w:jc w:val="center"/>
              <w:rPr>
                <w:rFonts w:ascii="Verdana" w:hAnsi="Verdana" w:cs="宋体"/>
                <w:kern w:val="0"/>
                <w:sz w:val="24"/>
              </w:rPr>
            </w:pPr>
            <w:r>
              <w:rPr>
                <w:rFonts w:hint="eastAsia" w:ascii="仿宋_GB2312" w:hAnsi="Verdana" w:cs="宋体"/>
                <w:kern w:val="0"/>
                <w:sz w:val="24"/>
              </w:rPr>
              <w:t>合计</w:t>
            </w:r>
          </w:p>
        </w:tc>
        <w:tc>
          <w:tcPr>
            <w:tcW w:w="1796" w:type="dxa"/>
            <w:tcBorders>
              <w:top w:val="single" w:color="auto" w:sz="8" w:space="0"/>
              <w:left w:val="single" w:color="000000" w:sz="8" w:space="0"/>
              <w:bottom w:val="single" w:color="auto" w:sz="8" w:space="0"/>
              <w:right w:val="single" w:color="auto" w:sz="8" w:space="0"/>
            </w:tcBorders>
            <w:shd w:val="clear" w:color="auto" w:fill="CCFFFF"/>
            <w:tcMar>
              <w:top w:w="15" w:type="dxa"/>
              <w:left w:w="15" w:type="dxa"/>
              <w:bottom w:w="15" w:type="dxa"/>
              <w:right w:w="15" w:type="dxa"/>
            </w:tcMar>
            <w:vAlign w:val="center"/>
          </w:tcPr>
          <w:p w14:paraId="04AAE190">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43884</w:t>
            </w:r>
          </w:p>
        </w:tc>
        <w:tc>
          <w:tcPr>
            <w:tcW w:w="1797" w:type="dxa"/>
            <w:tcBorders>
              <w:top w:val="single" w:color="auto" w:sz="8" w:space="0"/>
              <w:left w:val="single" w:color="auto" w:sz="8" w:space="0"/>
              <w:bottom w:val="single" w:color="auto" w:sz="8" w:space="0"/>
              <w:right w:val="single" w:color="auto" w:sz="8" w:space="0"/>
            </w:tcBorders>
            <w:shd w:val="clear" w:color="auto" w:fill="CCFFFF"/>
            <w:tcMar>
              <w:top w:w="15" w:type="dxa"/>
              <w:left w:w="15" w:type="dxa"/>
              <w:bottom w:w="15" w:type="dxa"/>
              <w:right w:w="15" w:type="dxa"/>
            </w:tcMar>
            <w:vAlign w:val="center"/>
          </w:tcPr>
          <w:p w14:paraId="1A590D53">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100.00%</w:t>
            </w:r>
          </w:p>
        </w:tc>
      </w:tr>
    </w:tbl>
    <w:p w14:paraId="26EE91DC">
      <w:pPr>
        <w:adjustRightInd w:val="0"/>
        <w:snapToGrid w:val="0"/>
        <w:spacing w:line="360" w:lineRule="auto"/>
        <w:rPr>
          <w:rFonts w:ascii="宋体" w:hAnsi="宋体"/>
          <w:color w:val="FF0000"/>
          <w:sz w:val="24"/>
        </w:rPr>
      </w:pPr>
    </w:p>
    <w:p w14:paraId="28AFCF2A">
      <w:pPr>
        <w:adjustRightInd w:val="0"/>
        <w:snapToGrid w:val="0"/>
        <w:spacing w:line="360" w:lineRule="auto"/>
        <w:ind w:firstLine="482" w:firstLineChars="200"/>
        <w:rPr>
          <w:rFonts w:ascii="宋体" w:hAnsi="宋体"/>
          <w:b/>
          <w:sz w:val="24"/>
        </w:rPr>
      </w:pPr>
      <w:r>
        <w:rPr>
          <w:rFonts w:hint="eastAsia" w:ascii="宋体" w:hAnsi="宋体"/>
          <w:b/>
          <w:sz w:val="24"/>
        </w:rPr>
        <w:t>（六）</w:t>
      </w:r>
      <w:r>
        <w:rPr>
          <w:rFonts w:ascii="宋体" w:hAnsi="宋体"/>
          <w:b/>
          <w:sz w:val="24"/>
        </w:rPr>
        <w:t>招聘、应聘条件分析</w:t>
      </w:r>
    </w:p>
    <w:p w14:paraId="377CF41E">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textAlignment w:val="auto"/>
        <w:rPr>
          <w:rFonts w:ascii="宋体" w:hAnsi="宋体"/>
          <w:b/>
          <w:bCs/>
          <w:sz w:val="24"/>
        </w:rPr>
      </w:pPr>
      <w:r>
        <w:rPr>
          <w:rFonts w:hint="eastAsia" w:ascii="宋体" w:hAnsi="宋体"/>
          <w:b/>
          <w:bCs/>
          <w:sz w:val="24"/>
        </w:rPr>
        <w:t>1</w:t>
      </w:r>
      <w:r>
        <w:rPr>
          <w:rFonts w:hint="eastAsia" w:ascii="宋体" w:hAnsi="宋体"/>
          <w:b/>
          <w:bCs/>
          <w:sz w:val="24"/>
          <w:lang w:val="en-US" w:eastAsia="zh-CN"/>
        </w:rPr>
        <w:t>.</w:t>
      </w:r>
      <w:r>
        <w:rPr>
          <w:rFonts w:ascii="宋体" w:hAnsi="宋体"/>
          <w:b/>
          <w:bCs/>
          <w:sz w:val="24"/>
        </w:rPr>
        <w:t>年龄</w:t>
      </w:r>
    </w:p>
    <w:p w14:paraId="2DA11AEF">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ascii="宋体" w:hAnsi="宋体" w:cs="宋体"/>
          <w:kern w:val="0"/>
          <w:sz w:val="24"/>
        </w:rPr>
      </w:pPr>
      <w:r>
        <w:rPr>
          <w:rFonts w:ascii="宋体" w:hAnsi="宋体" w:cs="宋体"/>
          <w:kern w:val="0"/>
          <w:sz w:val="24"/>
        </w:rPr>
        <w:t>从</w:t>
      </w:r>
      <w:r>
        <w:rPr>
          <w:rFonts w:hint="eastAsia" w:ascii="宋体" w:hAnsi="宋体" w:cs="宋体"/>
          <w:kern w:val="0"/>
          <w:sz w:val="24"/>
        </w:rPr>
        <w:t>下图</w:t>
      </w:r>
      <w:r>
        <w:rPr>
          <w:rFonts w:ascii="宋体" w:hAnsi="宋体" w:cs="宋体"/>
          <w:kern w:val="0"/>
          <w:sz w:val="24"/>
        </w:rPr>
        <w:t>可以看出</w:t>
      </w:r>
      <w:r>
        <w:rPr>
          <w:rFonts w:hint="eastAsia" w:ascii="宋体" w:hAnsi="宋体" w:cs="宋体"/>
          <w:kern w:val="0"/>
          <w:sz w:val="24"/>
        </w:rPr>
        <w:t>，</w:t>
      </w:r>
      <w:r>
        <w:rPr>
          <w:rFonts w:hint="eastAsia" w:ascii="宋体" w:hAnsi="宋体" w:cs="宋体"/>
          <w:kern w:val="0"/>
          <w:sz w:val="24"/>
          <w:lang w:eastAsia="zh-CN"/>
        </w:rPr>
        <w:t>第二季度</w:t>
      </w:r>
      <w:r>
        <w:rPr>
          <w:rFonts w:ascii="宋体" w:hAnsi="宋体" w:cs="宋体"/>
          <w:kern w:val="0"/>
          <w:sz w:val="24"/>
        </w:rPr>
        <w:t>需求人数最多的是</w:t>
      </w:r>
      <w:r>
        <w:rPr>
          <w:rFonts w:hint="eastAsia" w:ascii="宋体" w:hAnsi="宋体" w:cs="宋体"/>
          <w:kern w:val="0"/>
          <w:sz w:val="24"/>
        </w:rPr>
        <w:t>35-44</w:t>
      </w:r>
      <w:r>
        <w:rPr>
          <w:rFonts w:ascii="宋体" w:hAnsi="宋体" w:cs="宋体"/>
          <w:kern w:val="0"/>
          <w:sz w:val="24"/>
        </w:rPr>
        <w:t>岁这一年龄段，需求比重</w:t>
      </w:r>
      <w:r>
        <w:rPr>
          <w:rFonts w:hint="eastAsia" w:ascii="宋体" w:hAnsi="宋体" w:cs="宋体"/>
          <w:kern w:val="0"/>
          <w:sz w:val="24"/>
        </w:rPr>
        <w:t>为30.</w:t>
      </w:r>
      <w:r>
        <w:rPr>
          <w:rFonts w:hint="eastAsia" w:ascii="宋体" w:hAnsi="宋体" w:cs="宋体"/>
          <w:kern w:val="0"/>
          <w:sz w:val="24"/>
          <w:lang w:val="en-US" w:eastAsia="zh-CN"/>
        </w:rPr>
        <w:t>05</w:t>
      </w:r>
      <w:r>
        <w:rPr>
          <w:rFonts w:ascii="宋体" w:hAnsi="宋体" w:cs="宋体"/>
          <w:kern w:val="0"/>
          <w:sz w:val="24"/>
        </w:rPr>
        <w:t>%，需求量最少的仍然是45岁以上，需求比重仅为</w:t>
      </w:r>
      <w:r>
        <w:rPr>
          <w:rFonts w:hint="eastAsia" w:ascii="宋体" w:hAnsi="宋体" w:cs="宋体"/>
          <w:kern w:val="0"/>
          <w:sz w:val="24"/>
        </w:rPr>
        <w:t>1.</w:t>
      </w:r>
      <w:r>
        <w:rPr>
          <w:rFonts w:hint="eastAsia" w:ascii="宋体" w:hAnsi="宋体" w:cs="宋体"/>
          <w:kern w:val="0"/>
          <w:sz w:val="24"/>
          <w:lang w:val="en-US" w:eastAsia="zh-CN"/>
        </w:rPr>
        <w:t>78</w:t>
      </w:r>
      <w:r>
        <w:rPr>
          <w:rFonts w:ascii="宋体" w:hAnsi="宋体" w:cs="宋体"/>
          <w:kern w:val="0"/>
          <w:sz w:val="24"/>
        </w:rPr>
        <w:t>%</w:t>
      </w:r>
      <w:r>
        <w:rPr>
          <w:rFonts w:hint="eastAsia" w:ascii="宋体" w:hAnsi="宋体" w:cs="宋体"/>
          <w:kern w:val="0"/>
          <w:sz w:val="24"/>
        </w:rPr>
        <w:t>。</w:t>
      </w:r>
      <w:r>
        <w:rPr>
          <w:rFonts w:ascii="宋体" w:hAnsi="宋体" w:cs="宋体"/>
          <w:kern w:val="0"/>
          <w:sz w:val="24"/>
        </w:rPr>
        <w:t>从求职来看，</w:t>
      </w:r>
      <w:r>
        <w:rPr>
          <w:rFonts w:hint="eastAsia" w:ascii="宋体" w:hAnsi="宋体" w:cs="宋体"/>
          <w:kern w:val="0"/>
          <w:sz w:val="24"/>
          <w:lang w:val="en-US" w:eastAsia="zh-CN"/>
        </w:rPr>
        <w:t>3</w:t>
      </w:r>
      <w:r>
        <w:rPr>
          <w:rFonts w:ascii="宋体" w:hAnsi="宋体" w:cs="宋体"/>
          <w:kern w:val="0"/>
          <w:sz w:val="24"/>
        </w:rPr>
        <w:t>5-</w:t>
      </w:r>
      <w:r>
        <w:rPr>
          <w:rFonts w:hint="eastAsia" w:ascii="宋体" w:hAnsi="宋体" w:cs="宋体"/>
          <w:kern w:val="0"/>
          <w:sz w:val="24"/>
          <w:lang w:val="en-US" w:eastAsia="zh-CN"/>
        </w:rPr>
        <w:t>4</w:t>
      </w:r>
      <w:r>
        <w:rPr>
          <w:rFonts w:ascii="宋体" w:hAnsi="宋体" w:cs="宋体"/>
          <w:kern w:val="0"/>
          <w:sz w:val="24"/>
        </w:rPr>
        <w:t>4岁和</w:t>
      </w:r>
      <w:r>
        <w:rPr>
          <w:rFonts w:hint="eastAsia" w:ascii="宋体" w:hAnsi="宋体" w:cs="宋体"/>
          <w:kern w:val="0"/>
          <w:sz w:val="24"/>
          <w:lang w:val="en-US" w:eastAsia="zh-CN"/>
        </w:rPr>
        <w:t>25-34</w:t>
      </w:r>
      <w:r>
        <w:rPr>
          <w:rFonts w:ascii="宋体" w:hAnsi="宋体" w:cs="宋体"/>
          <w:kern w:val="0"/>
          <w:sz w:val="24"/>
        </w:rPr>
        <w:t>岁的求职人群是求职主体，求职比重分别为</w:t>
      </w:r>
      <w:r>
        <w:rPr>
          <w:rFonts w:hint="eastAsia" w:ascii="宋体" w:hAnsi="宋体" w:cs="宋体"/>
          <w:kern w:val="0"/>
          <w:sz w:val="24"/>
          <w:lang w:val="en-US" w:eastAsia="zh-CN"/>
        </w:rPr>
        <w:t>30.05</w:t>
      </w:r>
      <w:r>
        <w:rPr>
          <w:rFonts w:ascii="宋体" w:hAnsi="宋体" w:cs="宋体"/>
          <w:kern w:val="0"/>
          <w:sz w:val="24"/>
        </w:rPr>
        <w:t>%和</w:t>
      </w:r>
      <w:r>
        <w:rPr>
          <w:rFonts w:hint="eastAsia" w:ascii="宋体" w:hAnsi="宋体" w:cs="宋体"/>
          <w:kern w:val="0"/>
          <w:sz w:val="24"/>
          <w:lang w:val="en-US" w:eastAsia="zh-CN"/>
        </w:rPr>
        <w:t>29.08</w:t>
      </w:r>
      <w:r>
        <w:rPr>
          <w:rFonts w:ascii="宋体" w:hAnsi="宋体" w:cs="宋体"/>
          <w:kern w:val="0"/>
          <w:sz w:val="24"/>
        </w:rPr>
        <w:t>%。</w:t>
      </w:r>
    </w:p>
    <w:p w14:paraId="1FB7ADDA">
      <w:pPr>
        <w:spacing w:line="360" w:lineRule="auto"/>
        <w:ind w:firstLine="480" w:firstLineChars="200"/>
        <w:jc w:val="center"/>
        <w:rPr>
          <w:rFonts w:ascii="宋体" w:hAnsi="宋体" w:cs="宋体"/>
          <w:kern w:val="0"/>
          <w:sz w:val="24"/>
        </w:rPr>
      </w:pPr>
      <w:r>
        <w:rPr>
          <w:rFonts w:hint="eastAsia" w:ascii="宋体" w:hAnsi="宋体" w:cs="宋体"/>
          <w:kern w:val="0"/>
          <w:sz w:val="24"/>
        </w:rPr>
        <w:t>表</w:t>
      </w:r>
      <w:r>
        <w:rPr>
          <w:rFonts w:hint="eastAsia" w:ascii="宋体" w:hAnsi="宋体" w:cs="宋体"/>
          <w:kern w:val="0"/>
          <w:sz w:val="24"/>
          <w:lang w:val="en-US" w:eastAsia="zh-CN"/>
        </w:rPr>
        <w:t>9</w:t>
      </w:r>
      <w:r>
        <w:rPr>
          <w:rFonts w:hint="eastAsia" w:ascii="宋体" w:hAnsi="宋体" w:cs="宋体"/>
          <w:kern w:val="0"/>
          <w:sz w:val="24"/>
        </w:rPr>
        <w:t>.按年龄分组的供求人数</w:t>
      </w:r>
    </w:p>
    <w:tbl>
      <w:tblPr>
        <w:tblStyle w:val="8"/>
        <w:tblW w:w="6996"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401"/>
        <w:gridCol w:w="990"/>
        <w:gridCol w:w="1215"/>
        <w:gridCol w:w="915"/>
        <w:gridCol w:w="1200"/>
        <w:gridCol w:w="1275"/>
      </w:tblGrid>
      <w:tr w14:paraId="0B5CD76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cantSplit/>
          <w:trHeight w:val="397" w:hRule="atLeast"/>
          <w:jc w:val="center"/>
        </w:trPr>
        <w:tc>
          <w:tcPr>
            <w:tcW w:w="1401" w:type="dxa"/>
            <w:vMerge w:val="restart"/>
            <w:tcBorders>
              <w:top w:val="single" w:color="auto" w:sz="8" w:space="0"/>
              <w:left w:val="single" w:color="auto" w:sz="8" w:space="0"/>
              <w:bottom w:val="single" w:color="000000" w:sz="8" w:space="0"/>
              <w:right w:val="single" w:color="auto" w:sz="8" w:space="0"/>
            </w:tcBorders>
            <w:shd w:val="clear" w:color="auto" w:fill="FFFF99"/>
            <w:tcMar>
              <w:top w:w="0" w:type="dxa"/>
              <w:left w:w="108" w:type="dxa"/>
              <w:bottom w:w="0" w:type="dxa"/>
              <w:right w:w="108" w:type="dxa"/>
            </w:tcMar>
            <w:vAlign w:val="center"/>
          </w:tcPr>
          <w:p w14:paraId="31255EA5">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年龄</w:t>
            </w:r>
          </w:p>
        </w:tc>
        <w:tc>
          <w:tcPr>
            <w:tcW w:w="5595" w:type="dxa"/>
            <w:gridSpan w:val="5"/>
            <w:tcBorders>
              <w:top w:val="single" w:color="auto" w:sz="8" w:space="0"/>
              <w:left w:val="nil"/>
              <w:bottom w:val="single" w:color="auto" w:sz="8" w:space="0"/>
              <w:right w:val="single" w:color="auto" w:sz="8" w:space="0"/>
            </w:tcBorders>
            <w:shd w:val="clear" w:color="auto" w:fill="FFFF99"/>
            <w:tcMar>
              <w:top w:w="0" w:type="dxa"/>
              <w:left w:w="108" w:type="dxa"/>
              <w:bottom w:w="0" w:type="dxa"/>
              <w:right w:w="108" w:type="dxa"/>
            </w:tcMar>
          </w:tcPr>
          <w:p w14:paraId="2591E69F">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劳动力供求人数比较</w:t>
            </w:r>
          </w:p>
        </w:tc>
      </w:tr>
      <w:tr w14:paraId="61EB14B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cantSplit/>
          <w:trHeight w:val="397" w:hRule="atLeast"/>
          <w:jc w:val="center"/>
        </w:trPr>
        <w:tc>
          <w:tcPr>
            <w:tcW w:w="1401" w:type="dxa"/>
            <w:vMerge w:val="continue"/>
            <w:tcBorders>
              <w:top w:val="single" w:color="auto" w:sz="8" w:space="0"/>
              <w:left w:val="single" w:color="auto" w:sz="8" w:space="0"/>
              <w:bottom w:val="single" w:color="000000" w:sz="8" w:space="0"/>
              <w:right w:val="single" w:color="auto" w:sz="8" w:space="0"/>
            </w:tcBorders>
            <w:vAlign w:val="center"/>
          </w:tcPr>
          <w:p w14:paraId="2AF79DB3">
            <w:pPr>
              <w:widowControl/>
              <w:spacing w:line="360" w:lineRule="auto"/>
              <w:jc w:val="left"/>
              <w:rPr>
                <w:rFonts w:ascii="宋体" w:hAnsi="宋体" w:cs="宋体"/>
                <w:kern w:val="0"/>
                <w:sz w:val="24"/>
              </w:rPr>
            </w:pPr>
          </w:p>
        </w:tc>
        <w:tc>
          <w:tcPr>
            <w:tcW w:w="990"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14:paraId="108A93BB">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第二季度</w:t>
            </w:r>
            <w:r>
              <w:rPr>
                <w:rFonts w:hint="eastAsia" w:ascii="宋体" w:hAnsi="宋体" w:cs="宋体"/>
                <w:kern w:val="0"/>
                <w:sz w:val="24"/>
              </w:rPr>
              <w:t>需求人数（人）</w:t>
            </w:r>
          </w:p>
        </w:tc>
        <w:tc>
          <w:tcPr>
            <w:tcW w:w="1215"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14:paraId="75B69649">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第二季度</w:t>
            </w:r>
            <w:r>
              <w:rPr>
                <w:rFonts w:hint="eastAsia" w:ascii="宋体" w:hAnsi="宋体" w:cs="宋体"/>
                <w:kern w:val="0"/>
                <w:sz w:val="24"/>
              </w:rPr>
              <w:t>需求比重（</w:t>
            </w:r>
            <w:r>
              <w:rPr>
                <w:rFonts w:ascii="宋体" w:hAnsi="宋体" w:cs="宋体"/>
                <w:kern w:val="0"/>
                <w:sz w:val="24"/>
              </w:rPr>
              <w:t>%</w:t>
            </w:r>
            <w:r>
              <w:rPr>
                <w:rFonts w:hint="eastAsia" w:ascii="宋体" w:hAnsi="宋体" w:cs="宋体"/>
                <w:kern w:val="0"/>
                <w:sz w:val="24"/>
              </w:rPr>
              <w:t>）</w:t>
            </w:r>
          </w:p>
        </w:tc>
        <w:tc>
          <w:tcPr>
            <w:tcW w:w="915"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14:paraId="2B14D60E">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第二季度</w:t>
            </w:r>
            <w:r>
              <w:rPr>
                <w:rFonts w:hint="eastAsia" w:ascii="宋体" w:hAnsi="宋体" w:cs="宋体"/>
                <w:kern w:val="0"/>
                <w:sz w:val="24"/>
              </w:rPr>
              <w:t>求职人数（人）</w:t>
            </w:r>
          </w:p>
        </w:tc>
        <w:tc>
          <w:tcPr>
            <w:tcW w:w="1200"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14:paraId="41773CF0">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第二季度</w:t>
            </w:r>
            <w:r>
              <w:rPr>
                <w:rFonts w:hint="eastAsia" w:ascii="宋体" w:hAnsi="宋体" w:cs="宋体"/>
                <w:kern w:val="0"/>
                <w:sz w:val="24"/>
              </w:rPr>
              <w:t>求职比重（</w:t>
            </w:r>
            <w:r>
              <w:rPr>
                <w:rFonts w:ascii="宋体" w:hAnsi="宋体" w:cs="宋体"/>
                <w:kern w:val="0"/>
                <w:sz w:val="24"/>
              </w:rPr>
              <w:t>%</w:t>
            </w:r>
            <w:r>
              <w:rPr>
                <w:rFonts w:hint="eastAsia" w:ascii="宋体" w:hAnsi="宋体" w:cs="宋体"/>
                <w:kern w:val="0"/>
                <w:sz w:val="24"/>
              </w:rPr>
              <w:t>）</w:t>
            </w:r>
          </w:p>
        </w:tc>
        <w:tc>
          <w:tcPr>
            <w:tcW w:w="1275"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14:paraId="210F91D4">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第二季度</w:t>
            </w:r>
            <w:r>
              <w:rPr>
                <w:rFonts w:hint="eastAsia" w:ascii="宋体" w:hAnsi="宋体" w:cs="宋体"/>
                <w:kern w:val="0"/>
                <w:sz w:val="24"/>
              </w:rPr>
              <w:t>求人倍率</w:t>
            </w:r>
          </w:p>
        </w:tc>
      </w:tr>
      <w:tr w14:paraId="7FED01A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14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32AA2257">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16-24岁</w:t>
            </w:r>
          </w:p>
        </w:tc>
        <w:tc>
          <w:tcPr>
            <w:tcW w:w="99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0368B920">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15033</w:t>
            </w:r>
          </w:p>
        </w:tc>
        <w:tc>
          <w:tcPr>
            <w:tcW w:w="121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03A5418B">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28.40%</w:t>
            </w:r>
          </w:p>
        </w:tc>
        <w:tc>
          <w:tcPr>
            <w:tcW w:w="91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0D348AEB">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14042</w:t>
            </w:r>
          </w:p>
        </w:tc>
        <w:tc>
          <w:tcPr>
            <w:tcW w:w="12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0BFD17B0">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32.00%</w:t>
            </w:r>
          </w:p>
        </w:tc>
        <w:tc>
          <w:tcPr>
            <w:tcW w:w="1275"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14:paraId="0B56E0DB">
            <w:pPr>
              <w:keepNext w:val="0"/>
              <w:keepLines w:val="0"/>
              <w:widowControl/>
              <w:suppressLineNumbers w:val="0"/>
              <w:jc w:val="center"/>
              <w:textAlignment w:val="center"/>
              <w:rPr>
                <w:rFonts w:hint="default"/>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1.07 </w:t>
            </w:r>
          </w:p>
        </w:tc>
      </w:tr>
      <w:tr w14:paraId="2B0C1AC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14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17C4BAEE">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25-34岁</w:t>
            </w:r>
          </w:p>
        </w:tc>
        <w:tc>
          <w:tcPr>
            <w:tcW w:w="99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3227E2CD">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15397</w:t>
            </w:r>
          </w:p>
        </w:tc>
        <w:tc>
          <w:tcPr>
            <w:tcW w:w="121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7E06418F">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29.08%</w:t>
            </w:r>
          </w:p>
        </w:tc>
        <w:tc>
          <w:tcPr>
            <w:tcW w:w="91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3F36FFCF">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13707</w:t>
            </w:r>
          </w:p>
        </w:tc>
        <w:tc>
          <w:tcPr>
            <w:tcW w:w="12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771C76A5">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31.23%</w:t>
            </w:r>
          </w:p>
        </w:tc>
        <w:tc>
          <w:tcPr>
            <w:tcW w:w="1275"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14:paraId="2672486F">
            <w:pPr>
              <w:keepNext w:val="0"/>
              <w:keepLines w:val="0"/>
              <w:widowControl/>
              <w:suppressLineNumbers w:val="0"/>
              <w:jc w:val="center"/>
              <w:textAlignment w:val="center"/>
              <w:rPr>
                <w:rFonts w:hint="default"/>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1.12 </w:t>
            </w:r>
          </w:p>
        </w:tc>
      </w:tr>
      <w:tr w14:paraId="22E0601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14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51AD3F06">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35-44岁</w:t>
            </w:r>
          </w:p>
        </w:tc>
        <w:tc>
          <w:tcPr>
            <w:tcW w:w="99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5591812D">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15907</w:t>
            </w:r>
          </w:p>
        </w:tc>
        <w:tc>
          <w:tcPr>
            <w:tcW w:w="121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5622023C">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30.05%</w:t>
            </w:r>
          </w:p>
        </w:tc>
        <w:tc>
          <w:tcPr>
            <w:tcW w:w="91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38EC9D2E">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15272</w:t>
            </w:r>
          </w:p>
        </w:tc>
        <w:tc>
          <w:tcPr>
            <w:tcW w:w="12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1D6771E7">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34.80%</w:t>
            </w:r>
          </w:p>
        </w:tc>
        <w:tc>
          <w:tcPr>
            <w:tcW w:w="1275"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14:paraId="47DC9987">
            <w:pPr>
              <w:keepNext w:val="0"/>
              <w:keepLines w:val="0"/>
              <w:widowControl/>
              <w:suppressLineNumbers w:val="0"/>
              <w:jc w:val="center"/>
              <w:textAlignment w:val="center"/>
              <w:rPr>
                <w:rFonts w:hint="default"/>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1.04 </w:t>
            </w:r>
          </w:p>
        </w:tc>
      </w:tr>
      <w:tr w14:paraId="0ECD2F3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14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156C73F0">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45岁以上</w:t>
            </w:r>
          </w:p>
        </w:tc>
        <w:tc>
          <w:tcPr>
            <w:tcW w:w="99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77BD8C33">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944</w:t>
            </w:r>
          </w:p>
        </w:tc>
        <w:tc>
          <w:tcPr>
            <w:tcW w:w="121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220CA65F">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1.78%</w:t>
            </w:r>
          </w:p>
        </w:tc>
        <w:tc>
          <w:tcPr>
            <w:tcW w:w="91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0E4464B1">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863</w:t>
            </w:r>
          </w:p>
        </w:tc>
        <w:tc>
          <w:tcPr>
            <w:tcW w:w="12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29CA6CE4">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1.97%</w:t>
            </w:r>
          </w:p>
        </w:tc>
        <w:tc>
          <w:tcPr>
            <w:tcW w:w="1275"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14:paraId="0C2CD003">
            <w:pPr>
              <w:keepNext w:val="0"/>
              <w:keepLines w:val="0"/>
              <w:widowControl/>
              <w:suppressLineNumbers w:val="0"/>
              <w:jc w:val="center"/>
              <w:textAlignment w:val="center"/>
              <w:rPr>
                <w:rFonts w:hint="default"/>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1.09 </w:t>
            </w:r>
          </w:p>
        </w:tc>
      </w:tr>
      <w:tr w14:paraId="065E12F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14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4612A4BF">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无要求</w:t>
            </w:r>
          </w:p>
        </w:tc>
        <w:tc>
          <w:tcPr>
            <w:tcW w:w="99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1664B206">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5657</w:t>
            </w:r>
          </w:p>
        </w:tc>
        <w:tc>
          <w:tcPr>
            <w:tcW w:w="121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1AEEC43A">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10.69%</w:t>
            </w:r>
          </w:p>
        </w:tc>
        <w:tc>
          <w:tcPr>
            <w:tcW w:w="91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2500DDB2">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12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75B8A828">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275"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14:paraId="169C3D64">
            <w:pPr>
              <w:keepNext w:val="0"/>
              <w:keepLines w:val="0"/>
              <w:widowControl/>
              <w:suppressLineNumbers w:val="0"/>
              <w:jc w:val="center"/>
              <w:textAlignment w:val="center"/>
              <w:rPr>
                <w:rFonts w:hint="default"/>
                <w:sz w:val="24"/>
                <w:lang w:val="en-US" w:eastAsia="zh-CN"/>
              </w:rPr>
            </w:pPr>
            <w:r>
              <w:rPr>
                <w:rFonts w:hint="eastAsia"/>
                <w:sz w:val="24"/>
                <w:lang w:val="en-US" w:eastAsia="zh-CN"/>
              </w:rPr>
              <w:t>——</w:t>
            </w:r>
          </w:p>
        </w:tc>
      </w:tr>
      <w:tr w14:paraId="0FA17AE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97" w:hRule="atLeast"/>
          <w:jc w:val="center"/>
        </w:trPr>
        <w:tc>
          <w:tcPr>
            <w:tcW w:w="14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26BD710D">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合计</w:t>
            </w:r>
          </w:p>
        </w:tc>
        <w:tc>
          <w:tcPr>
            <w:tcW w:w="99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5880B71C">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52938</w:t>
            </w:r>
          </w:p>
        </w:tc>
        <w:tc>
          <w:tcPr>
            <w:tcW w:w="121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5E6D3E4E">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100.00%</w:t>
            </w:r>
          </w:p>
        </w:tc>
        <w:tc>
          <w:tcPr>
            <w:tcW w:w="91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624FDCDA">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43884</w:t>
            </w:r>
          </w:p>
        </w:tc>
        <w:tc>
          <w:tcPr>
            <w:tcW w:w="120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2CAABF12">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100.00%</w:t>
            </w:r>
          </w:p>
        </w:tc>
        <w:tc>
          <w:tcPr>
            <w:tcW w:w="1275"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14:paraId="004E26E3">
            <w:pPr>
              <w:keepNext w:val="0"/>
              <w:keepLines w:val="0"/>
              <w:widowControl/>
              <w:suppressLineNumbers w:val="0"/>
              <w:jc w:val="center"/>
              <w:textAlignment w:val="center"/>
              <w:rPr>
                <w:rFonts w:hint="default"/>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1.21 </w:t>
            </w:r>
          </w:p>
        </w:tc>
      </w:tr>
    </w:tbl>
    <w:p w14:paraId="35AC566F">
      <w:pPr>
        <w:adjustRightInd w:val="0"/>
        <w:snapToGrid w:val="0"/>
        <w:spacing w:line="360" w:lineRule="auto"/>
        <w:rPr>
          <w:rFonts w:ascii="宋体" w:hAnsi="宋体"/>
          <w:color w:val="FF0000"/>
          <w:sz w:val="24"/>
        </w:rPr>
      </w:pPr>
    </w:p>
    <w:p w14:paraId="283A5D6F">
      <w:pPr>
        <w:adjustRightInd w:val="0"/>
        <w:snapToGrid w:val="0"/>
        <w:spacing w:line="360" w:lineRule="auto"/>
        <w:ind w:firstLine="482" w:firstLineChars="200"/>
        <w:rPr>
          <w:rFonts w:ascii="宋体" w:hAnsi="宋体"/>
          <w:b/>
          <w:bCs/>
          <w:sz w:val="24"/>
        </w:rPr>
      </w:pPr>
      <w:r>
        <w:rPr>
          <w:rFonts w:hint="eastAsia" w:ascii="宋体" w:hAnsi="宋体"/>
          <w:b/>
          <w:bCs/>
          <w:sz w:val="24"/>
        </w:rPr>
        <w:t>2</w:t>
      </w:r>
      <w:r>
        <w:rPr>
          <w:rFonts w:hint="eastAsia" w:ascii="宋体" w:hAnsi="宋体"/>
          <w:b/>
          <w:bCs/>
          <w:sz w:val="24"/>
          <w:lang w:val="en-US" w:eastAsia="zh-CN"/>
        </w:rPr>
        <w:t>.</w:t>
      </w:r>
      <w:r>
        <w:rPr>
          <w:rFonts w:ascii="宋体" w:hAnsi="宋体"/>
          <w:b/>
          <w:bCs/>
          <w:sz w:val="24"/>
        </w:rPr>
        <w:t>文化程度</w:t>
      </w:r>
    </w:p>
    <w:p w14:paraId="2339ECB4">
      <w:pPr>
        <w:adjustRightInd w:val="0"/>
        <w:snapToGrid w:val="0"/>
        <w:spacing w:line="360" w:lineRule="auto"/>
        <w:ind w:firstLine="480" w:firstLineChars="200"/>
        <w:rPr>
          <w:rFonts w:ascii="宋体" w:hAnsi="宋体"/>
          <w:sz w:val="24"/>
        </w:rPr>
      </w:pPr>
      <w:r>
        <w:rPr>
          <w:rFonts w:hint="eastAsia" w:ascii="宋体" w:hAnsi="宋体" w:cs="宋体"/>
          <w:kern w:val="0"/>
          <w:sz w:val="24"/>
        </w:rPr>
        <w:t>在需求人群中，</w:t>
      </w:r>
      <w:r>
        <w:rPr>
          <w:rFonts w:hint="eastAsia" w:ascii="宋体" w:hAnsi="宋体" w:cs="宋体"/>
          <w:kern w:val="0"/>
          <w:sz w:val="24"/>
          <w:lang w:eastAsia="zh-CN"/>
        </w:rPr>
        <w:t>第二季度</w:t>
      </w:r>
      <w:r>
        <w:rPr>
          <w:rFonts w:hint="eastAsia" w:ascii="宋体" w:hAnsi="宋体" w:cs="宋体"/>
          <w:kern w:val="0"/>
          <w:sz w:val="24"/>
        </w:rPr>
        <w:t>大专和高中任然是需求比重最大的，在求职人群中，也是</w:t>
      </w:r>
      <w:r>
        <w:rPr>
          <w:rFonts w:hint="eastAsia" w:ascii="宋体" w:hAnsi="宋体" w:cs="宋体"/>
          <w:kern w:val="0"/>
          <w:sz w:val="24"/>
          <w:lang w:val="en-US" w:eastAsia="zh-CN"/>
        </w:rPr>
        <w:t>大专</w:t>
      </w:r>
      <w:r>
        <w:rPr>
          <w:rFonts w:hint="eastAsia" w:ascii="宋体" w:hAnsi="宋体" w:cs="宋体"/>
          <w:kern w:val="0"/>
          <w:sz w:val="24"/>
        </w:rPr>
        <w:t>及</w:t>
      </w:r>
      <w:r>
        <w:rPr>
          <w:rFonts w:hint="eastAsia" w:ascii="宋体" w:hAnsi="宋体" w:cs="宋体"/>
          <w:kern w:val="0"/>
          <w:sz w:val="24"/>
          <w:lang w:val="en-US" w:eastAsia="zh-CN"/>
        </w:rPr>
        <w:t>高中</w:t>
      </w:r>
      <w:r>
        <w:rPr>
          <w:rFonts w:hint="eastAsia" w:ascii="宋体" w:hAnsi="宋体" w:cs="宋体"/>
          <w:kern w:val="0"/>
          <w:sz w:val="24"/>
        </w:rPr>
        <w:t>占了总求职的绝大多数。总体上讲，文化水平虽然在逐渐提高，但还是以</w:t>
      </w:r>
      <w:r>
        <w:rPr>
          <w:rFonts w:hint="eastAsia" w:ascii="宋体" w:hAnsi="宋体" w:cs="宋体"/>
          <w:kern w:val="0"/>
          <w:sz w:val="24"/>
          <w:lang w:val="en-US" w:eastAsia="zh-CN"/>
        </w:rPr>
        <w:t>大专</w:t>
      </w:r>
      <w:r>
        <w:rPr>
          <w:rFonts w:hint="eastAsia" w:ascii="宋体" w:hAnsi="宋体" w:cs="宋体"/>
          <w:kern w:val="0"/>
          <w:sz w:val="24"/>
        </w:rPr>
        <w:t>和</w:t>
      </w:r>
      <w:r>
        <w:rPr>
          <w:rFonts w:hint="eastAsia" w:ascii="宋体" w:hAnsi="宋体" w:cs="宋体"/>
          <w:kern w:val="0"/>
          <w:sz w:val="24"/>
          <w:lang w:val="en-US" w:eastAsia="zh-CN"/>
        </w:rPr>
        <w:t>高中</w:t>
      </w:r>
      <w:r>
        <w:rPr>
          <w:rFonts w:hint="eastAsia" w:ascii="宋体" w:hAnsi="宋体" w:cs="宋体"/>
          <w:kern w:val="0"/>
          <w:sz w:val="24"/>
        </w:rPr>
        <w:t>为主，高学历人才相对较少，本科比例为1</w:t>
      </w:r>
      <w:r>
        <w:rPr>
          <w:rFonts w:hint="eastAsia" w:ascii="宋体" w:hAnsi="宋体" w:cs="宋体"/>
          <w:kern w:val="0"/>
          <w:sz w:val="24"/>
          <w:lang w:val="en-US" w:eastAsia="zh-CN"/>
        </w:rPr>
        <w:t>5</w:t>
      </w:r>
      <w:r>
        <w:rPr>
          <w:rFonts w:hint="eastAsia" w:ascii="宋体" w:hAnsi="宋体" w:cs="宋体"/>
          <w:kern w:val="0"/>
          <w:sz w:val="24"/>
        </w:rPr>
        <w:t>.</w:t>
      </w:r>
      <w:r>
        <w:rPr>
          <w:rFonts w:hint="eastAsia" w:ascii="宋体" w:hAnsi="宋体" w:cs="宋体"/>
          <w:kern w:val="0"/>
          <w:sz w:val="24"/>
          <w:lang w:val="en-US" w:eastAsia="zh-CN"/>
        </w:rPr>
        <w:t>47</w:t>
      </w:r>
      <w:r>
        <w:rPr>
          <w:rFonts w:hint="eastAsia" w:ascii="宋体" w:hAnsi="宋体" w:cs="宋体"/>
          <w:kern w:val="0"/>
          <w:sz w:val="24"/>
        </w:rPr>
        <w:t>%，硕士以上人员比例仅占0.3</w:t>
      </w:r>
      <w:r>
        <w:rPr>
          <w:rFonts w:hint="eastAsia" w:ascii="宋体" w:hAnsi="宋体" w:cs="宋体"/>
          <w:kern w:val="0"/>
          <w:sz w:val="24"/>
          <w:lang w:val="en-US" w:eastAsia="zh-CN"/>
        </w:rPr>
        <w:t>1</w:t>
      </w:r>
      <w:r>
        <w:rPr>
          <w:rFonts w:hint="eastAsia" w:ascii="宋体" w:hAnsi="宋体" w:cs="宋体"/>
          <w:kern w:val="0"/>
          <w:sz w:val="24"/>
        </w:rPr>
        <w:t xml:space="preserve">%。 </w:t>
      </w:r>
    </w:p>
    <w:p w14:paraId="660D301B">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表1</w:t>
      </w:r>
      <w:r>
        <w:rPr>
          <w:rFonts w:hint="eastAsia" w:ascii="宋体" w:hAnsi="宋体" w:cs="宋体"/>
          <w:kern w:val="0"/>
          <w:sz w:val="24"/>
          <w:lang w:val="en-US" w:eastAsia="zh-CN"/>
        </w:rPr>
        <w:t>0</w:t>
      </w:r>
      <w:r>
        <w:rPr>
          <w:rFonts w:hint="eastAsia" w:ascii="宋体" w:hAnsi="宋体" w:cs="宋体"/>
          <w:kern w:val="0"/>
          <w:sz w:val="24"/>
        </w:rPr>
        <w:t>. 按文化程度分组的供求人数</w:t>
      </w:r>
    </w:p>
    <w:tbl>
      <w:tblPr>
        <w:tblStyle w:val="8"/>
        <w:tblW w:w="8372"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307"/>
        <w:gridCol w:w="1135"/>
        <w:gridCol w:w="1077"/>
        <w:gridCol w:w="1259"/>
        <w:gridCol w:w="1797"/>
        <w:gridCol w:w="1797"/>
      </w:tblGrid>
      <w:tr w14:paraId="6135FF3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cantSplit/>
          <w:trHeight w:val="567" w:hRule="atLeast"/>
        </w:trPr>
        <w:tc>
          <w:tcPr>
            <w:tcW w:w="1307" w:type="dxa"/>
            <w:vMerge w:val="restart"/>
            <w:tcBorders>
              <w:top w:val="single" w:color="auto" w:sz="8" w:space="0"/>
              <w:left w:val="single" w:color="auto" w:sz="8" w:space="0"/>
              <w:bottom w:val="single" w:color="000000" w:sz="8" w:space="0"/>
              <w:right w:val="single" w:color="auto" w:sz="8" w:space="0"/>
            </w:tcBorders>
            <w:shd w:val="clear" w:color="auto" w:fill="FFFF99"/>
            <w:tcMar>
              <w:top w:w="0" w:type="dxa"/>
              <w:left w:w="108" w:type="dxa"/>
              <w:bottom w:w="0" w:type="dxa"/>
              <w:right w:w="108" w:type="dxa"/>
            </w:tcMar>
            <w:vAlign w:val="center"/>
          </w:tcPr>
          <w:p w14:paraId="06665078">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文化程度</w:t>
            </w:r>
          </w:p>
        </w:tc>
        <w:tc>
          <w:tcPr>
            <w:tcW w:w="7065" w:type="dxa"/>
            <w:gridSpan w:val="5"/>
            <w:tcBorders>
              <w:top w:val="single" w:color="auto" w:sz="8" w:space="0"/>
              <w:left w:val="nil"/>
              <w:bottom w:val="single" w:color="auto" w:sz="8" w:space="0"/>
              <w:right w:val="single" w:color="auto" w:sz="8" w:space="0"/>
            </w:tcBorders>
            <w:shd w:val="clear" w:color="auto" w:fill="FFFF99"/>
            <w:tcMar>
              <w:top w:w="0" w:type="dxa"/>
              <w:left w:w="108" w:type="dxa"/>
              <w:bottom w:w="0" w:type="dxa"/>
              <w:right w:w="108" w:type="dxa"/>
            </w:tcMar>
            <w:vAlign w:val="center"/>
          </w:tcPr>
          <w:p w14:paraId="441FFFEB">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劳动力供求人数比较</w:t>
            </w:r>
          </w:p>
        </w:tc>
      </w:tr>
      <w:tr w14:paraId="3D229C6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cantSplit/>
          <w:trHeight w:val="567" w:hRule="atLeast"/>
        </w:trPr>
        <w:tc>
          <w:tcPr>
            <w:tcW w:w="1307" w:type="dxa"/>
            <w:vMerge w:val="continue"/>
            <w:tcBorders>
              <w:top w:val="single" w:color="auto" w:sz="8" w:space="0"/>
              <w:left w:val="single" w:color="auto" w:sz="8" w:space="0"/>
              <w:bottom w:val="single" w:color="000000" w:sz="8" w:space="0"/>
              <w:right w:val="single" w:color="auto" w:sz="8" w:space="0"/>
            </w:tcBorders>
            <w:vAlign w:val="center"/>
          </w:tcPr>
          <w:p w14:paraId="17E279FB">
            <w:pPr>
              <w:widowControl/>
              <w:spacing w:line="360" w:lineRule="auto"/>
              <w:jc w:val="center"/>
              <w:rPr>
                <w:rFonts w:ascii="宋体" w:hAnsi="宋体" w:cs="宋体"/>
                <w:kern w:val="0"/>
                <w:sz w:val="24"/>
              </w:rPr>
            </w:pPr>
          </w:p>
        </w:tc>
        <w:tc>
          <w:tcPr>
            <w:tcW w:w="1135"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14:paraId="60190AD6">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第二季度</w:t>
            </w:r>
            <w:r>
              <w:rPr>
                <w:rFonts w:hint="eastAsia" w:ascii="宋体" w:hAnsi="宋体" w:cs="宋体"/>
                <w:kern w:val="0"/>
                <w:sz w:val="24"/>
              </w:rPr>
              <w:t>需求人数(人)</w:t>
            </w:r>
          </w:p>
        </w:tc>
        <w:tc>
          <w:tcPr>
            <w:tcW w:w="1077"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14:paraId="1EB87553">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第二季度</w:t>
            </w:r>
            <w:r>
              <w:rPr>
                <w:rFonts w:hint="eastAsia" w:ascii="宋体" w:hAnsi="宋体" w:cs="宋体"/>
                <w:kern w:val="0"/>
                <w:sz w:val="24"/>
              </w:rPr>
              <w:t>需求比重(%)</w:t>
            </w:r>
          </w:p>
        </w:tc>
        <w:tc>
          <w:tcPr>
            <w:tcW w:w="1259"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14:paraId="18F496B1">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第二季度</w:t>
            </w:r>
            <w:r>
              <w:rPr>
                <w:rFonts w:hint="eastAsia" w:ascii="宋体" w:hAnsi="宋体" w:cs="宋体"/>
                <w:kern w:val="0"/>
                <w:sz w:val="24"/>
              </w:rPr>
              <w:t>求职人数(人)</w:t>
            </w:r>
          </w:p>
        </w:tc>
        <w:tc>
          <w:tcPr>
            <w:tcW w:w="1797"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14:paraId="36DEE4C7">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第二季度</w:t>
            </w:r>
            <w:r>
              <w:rPr>
                <w:rFonts w:hint="eastAsia" w:ascii="宋体" w:hAnsi="宋体" w:cs="宋体"/>
                <w:kern w:val="0"/>
                <w:sz w:val="24"/>
              </w:rPr>
              <w:t>求职比重 (%)</w:t>
            </w:r>
          </w:p>
        </w:tc>
        <w:tc>
          <w:tcPr>
            <w:tcW w:w="1797"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14:paraId="308CDB89">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第二季度</w:t>
            </w:r>
            <w:r>
              <w:rPr>
                <w:rFonts w:hint="eastAsia" w:ascii="宋体" w:hAnsi="宋体" w:cs="宋体"/>
                <w:kern w:val="0"/>
                <w:sz w:val="24"/>
              </w:rPr>
              <w:t>求人倍率</w:t>
            </w:r>
          </w:p>
        </w:tc>
      </w:tr>
      <w:tr w14:paraId="13EE65A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15" w:hRule="atLeast"/>
        </w:trPr>
        <w:tc>
          <w:tcPr>
            <w:tcW w:w="1307"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60168CFD">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初中及以下</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49FAF7D6">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5695</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634EEB94">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10.76%</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7DEDBDCC">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4886</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0DABA9F7">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11.13%</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14:paraId="063950D3">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1.17 </w:t>
            </w:r>
          </w:p>
        </w:tc>
      </w:tr>
      <w:tr w14:paraId="05D07E0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1" w:hRule="atLeast"/>
        </w:trPr>
        <w:tc>
          <w:tcPr>
            <w:tcW w:w="1307"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3D5F8E83">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高中</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409B2897">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14347</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4114750C">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27.10%</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68927D90">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12120</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70192530">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27.62%</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14:paraId="41B3E2BC">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1.18 </w:t>
            </w:r>
          </w:p>
        </w:tc>
      </w:tr>
      <w:tr w14:paraId="245648D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trPr>
        <w:tc>
          <w:tcPr>
            <w:tcW w:w="1307"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4182679A">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其中：职高、技校、中专</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18A6CEF4">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6259</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5F4FEA60">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11.82%</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64B7EE00">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5344</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788A9C0E">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12.18%</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14:paraId="633A749F">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1.17 </w:t>
            </w:r>
          </w:p>
        </w:tc>
      </w:tr>
      <w:tr w14:paraId="26FF4C2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23" w:hRule="atLeast"/>
        </w:trPr>
        <w:tc>
          <w:tcPr>
            <w:tcW w:w="1307"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1046B941">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大专</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65DAE04F">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24541</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23B4DC33">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46.36%</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159790F9">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19955</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70E44FBD">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45.47%</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14:paraId="58838188">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1.23 </w:t>
            </w:r>
          </w:p>
        </w:tc>
      </w:tr>
      <w:tr w14:paraId="7F155A9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43" w:hRule="atLeast"/>
        </w:trPr>
        <w:tc>
          <w:tcPr>
            <w:tcW w:w="1307"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2A4659E9">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大学</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00C6F1E3">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8190</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349DFF02">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15.47%</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63FA5925">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6784</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251C9581">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15.46%</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14:paraId="5D281A62">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1.21 </w:t>
            </w:r>
          </w:p>
        </w:tc>
      </w:tr>
      <w:tr w14:paraId="75D6EA8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49" w:hRule="atLeast"/>
        </w:trPr>
        <w:tc>
          <w:tcPr>
            <w:tcW w:w="1307"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20CEBD7A">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硕士以上</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12E714E6">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165</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5C965DAA">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0.31%</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5C766F35">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139</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432152BE">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0.32%</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14:paraId="4F9EA124">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1.19 </w:t>
            </w:r>
          </w:p>
        </w:tc>
      </w:tr>
      <w:tr w14:paraId="79D259D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5" w:hRule="atLeast"/>
        </w:trPr>
        <w:tc>
          <w:tcPr>
            <w:tcW w:w="1307"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61AFA048">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无要求</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5E2EFC47">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5DAFE416">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41BC6422">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57553C89">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0.00%</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14:paraId="59B69F92">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w:t>
            </w:r>
          </w:p>
        </w:tc>
      </w:tr>
      <w:tr w14:paraId="7A50CB9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33" w:hRule="atLeast"/>
        </w:trPr>
        <w:tc>
          <w:tcPr>
            <w:tcW w:w="1307"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5FD34537">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合计</w:t>
            </w:r>
          </w:p>
        </w:tc>
        <w:tc>
          <w:tcPr>
            <w:tcW w:w="113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56F2A32A">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52938</w:t>
            </w:r>
          </w:p>
        </w:tc>
        <w:tc>
          <w:tcPr>
            <w:tcW w:w="1077"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6CE79369">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100.00%</w:t>
            </w:r>
          </w:p>
        </w:tc>
        <w:tc>
          <w:tcPr>
            <w:tcW w:w="1259"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5833B323">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43884</w:t>
            </w:r>
          </w:p>
        </w:tc>
        <w:tc>
          <w:tcPr>
            <w:tcW w:w="1797"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0FB1F0D3">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100.00%</w:t>
            </w:r>
          </w:p>
        </w:tc>
        <w:tc>
          <w:tcPr>
            <w:tcW w:w="1797"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14:paraId="3A4EEAE2">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1.21 </w:t>
            </w:r>
          </w:p>
        </w:tc>
      </w:tr>
    </w:tbl>
    <w:p w14:paraId="64F3592C">
      <w:pPr>
        <w:adjustRightInd w:val="0"/>
        <w:snapToGrid w:val="0"/>
        <w:spacing w:line="360" w:lineRule="auto"/>
        <w:rPr>
          <w:rFonts w:ascii="宋体" w:hAnsi="宋体"/>
          <w:color w:val="FF0000"/>
          <w:sz w:val="24"/>
        </w:rPr>
      </w:pPr>
    </w:p>
    <w:p w14:paraId="14C4CF87">
      <w:pPr>
        <w:adjustRightInd w:val="0"/>
        <w:snapToGrid w:val="0"/>
        <w:spacing w:line="360" w:lineRule="auto"/>
        <w:ind w:firstLine="482" w:firstLineChars="200"/>
        <w:rPr>
          <w:rFonts w:ascii="宋体" w:hAnsi="宋体"/>
          <w:b/>
          <w:bCs/>
          <w:sz w:val="24"/>
        </w:rPr>
      </w:pPr>
      <w:r>
        <w:rPr>
          <w:rFonts w:hint="eastAsia" w:ascii="宋体" w:hAnsi="宋体"/>
          <w:b/>
          <w:bCs/>
          <w:sz w:val="24"/>
          <w:lang w:val="en-US" w:eastAsia="zh-CN"/>
        </w:rPr>
        <w:t>3.</w:t>
      </w:r>
      <w:r>
        <w:rPr>
          <w:rFonts w:ascii="宋体" w:hAnsi="宋体"/>
          <w:b/>
          <w:bCs/>
          <w:sz w:val="24"/>
        </w:rPr>
        <w:t>技术等级或职称</w:t>
      </w:r>
    </w:p>
    <w:p w14:paraId="5425C721">
      <w:pPr>
        <w:adjustRightInd w:val="0"/>
        <w:snapToGrid w:val="0"/>
        <w:spacing w:line="360" w:lineRule="auto"/>
        <w:ind w:firstLine="480" w:firstLineChars="200"/>
        <w:jc w:val="left"/>
        <w:rPr>
          <w:rFonts w:ascii="宋体" w:hAnsi="宋体"/>
          <w:sz w:val="24"/>
        </w:rPr>
      </w:pPr>
      <w:r>
        <w:rPr>
          <w:rFonts w:hint="eastAsia" w:ascii="宋体" w:hAnsi="宋体"/>
          <w:sz w:val="24"/>
        </w:rPr>
        <w:t>按技术等级分类，</w:t>
      </w:r>
      <w:r>
        <w:rPr>
          <w:rFonts w:hint="eastAsia" w:ascii="宋体" w:hAnsi="宋体"/>
          <w:color w:val="auto"/>
          <w:sz w:val="24"/>
          <w:highlight w:val="none"/>
        </w:rPr>
        <w:t>需求中无要求的占</w:t>
      </w:r>
      <w:r>
        <w:rPr>
          <w:rFonts w:hint="eastAsia" w:ascii="宋体" w:hAnsi="宋体"/>
          <w:color w:val="auto"/>
          <w:sz w:val="24"/>
          <w:highlight w:val="none"/>
          <w:lang w:val="en-US" w:eastAsia="zh-CN"/>
        </w:rPr>
        <w:t>48.71</w:t>
      </w:r>
      <w:r>
        <w:rPr>
          <w:rFonts w:hint="eastAsia" w:ascii="宋体" w:hAnsi="宋体"/>
          <w:color w:val="auto"/>
          <w:sz w:val="24"/>
          <w:highlight w:val="none"/>
        </w:rPr>
        <w:t>%，求职者中无技术等级和职称的占</w:t>
      </w:r>
      <w:r>
        <w:rPr>
          <w:rFonts w:hint="eastAsia" w:ascii="宋体" w:hAnsi="宋体"/>
          <w:color w:val="auto"/>
          <w:sz w:val="24"/>
          <w:highlight w:val="none"/>
          <w:lang w:val="en-US" w:eastAsia="zh-CN"/>
        </w:rPr>
        <w:t>51.85</w:t>
      </w:r>
      <w:r>
        <w:rPr>
          <w:rFonts w:hint="eastAsia" w:ascii="宋体" w:hAnsi="宋体"/>
          <w:color w:val="auto"/>
          <w:sz w:val="24"/>
          <w:highlight w:val="none"/>
        </w:rPr>
        <w:t>%，</w:t>
      </w:r>
      <w:r>
        <w:rPr>
          <w:rFonts w:hint="eastAsia" w:ascii="宋体" w:hAnsi="宋体"/>
          <w:sz w:val="24"/>
        </w:rPr>
        <w:t>这两者仍然是需求和求职的主要构成部分，与去年同期相比，</w:t>
      </w:r>
      <w:r>
        <w:rPr>
          <w:rFonts w:ascii="宋体" w:hAnsi="宋体"/>
          <w:sz w:val="24"/>
        </w:rPr>
        <w:t>企业</w:t>
      </w:r>
      <w:r>
        <w:rPr>
          <w:rFonts w:hint="eastAsia" w:ascii="宋体" w:hAnsi="宋体"/>
          <w:sz w:val="24"/>
        </w:rPr>
        <w:t>对于有高技能的人才需要略有增加，而求职者中有职业资格专业技术的比例也逐年上升。</w:t>
      </w:r>
    </w:p>
    <w:p w14:paraId="404162A2">
      <w:pPr>
        <w:adjustRightInd w:val="0"/>
        <w:snapToGrid w:val="0"/>
        <w:spacing w:line="360" w:lineRule="auto"/>
        <w:jc w:val="center"/>
        <w:rPr>
          <w:rFonts w:ascii="宋体" w:hAnsi="宋体"/>
          <w:sz w:val="24"/>
        </w:rPr>
      </w:pPr>
      <w:r>
        <w:rPr>
          <w:rFonts w:hint="eastAsia" w:ascii="宋体" w:hAnsi="宋体"/>
          <w:sz w:val="24"/>
        </w:rPr>
        <w:t>表1</w:t>
      </w:r>
      <w:r>
        <w:rPr>
          <w:rFonts w:hint="eastAsia" w:ascii="宋体" w:hAnsi="宋体"/>
          <w:sz w:val="24"/>
          <w:lang w:val="en-US" w:eastAsia="zh-CN"/>
        </w:rPr>
        <w:t>1.</w:t>
      </w:r>
      <w:r>
        <w:rPr>
          <w:rFonts w:ascii="宋体" w:hAnsi="宋体"/>
          <w:sz w:val="24"/>
        </w:rPr>
        <w:t>按技术等级分组的供求人数</w:t>
      </w:r>
    </w:p>
    <w:tbl>
      <w:tblPr>
        <w:tblStyle w:val="8"/>
        <w:tblW w:w="7461"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2301"/>
        <w:gridCol w:w="840"/>
        <w:gridCol w:w="1095"/>
        <w:gridCol w:w="990"/>
        <w:gridCol w:w="1305"/>
        <w:gridCol w:w="930"/>
      </w:tblGrid>
      <w:tr w14:paraId="494F9D9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2301" w:type="dxa"/>
            <w:vMerge w:val="restart"/>
            <w:tcBorders>
              <w:top w:val="single" w:color="auto" w:sz="8" w:space="0"/>
              <w:left w:val="single" w:color="auto" w:sz="8" w:space="0"/>
              <w:bottom w:val="single" w:color="auto" w:sz="8" w:space="0"/>
              <w:right w:val="single" w:color="auto" w:sz="8" w:space="0"/>
            </w:tcBorders>
            <w:shd w:val="clear" w:color="auto" w:fill="FFFF99"/>
            <w:tcMar>
              <w:top w:w="0" w:type="dxa"/>
              <w:left w:w="108" w:type="dxa"/>
              <w:bottom w:w="0" w:type="dxa"/>
              <w:right w:w="108" w:type="dxa"/>
            </w:tcMar>
            <w:vAlign w:val="center"/>
          </w:tcPr>
          <w:p w14:paraId="204D110F">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技术等级</w:t>
            </w:r>
          </w:p>
        </w:tc>
        <w:tc>
          <w:tcPr>
            <w:tcW w:w="5160" w:type="dxa"/>
            <w:gridSpan w:val="5"/>
            <w:tcBorders>
              <w:top w:val="single" w:color="auto" w:sz="8" w:space="0"/>
              <w:left w:val="nil"/>
              <w:bottom w:val="single" w:color="auto" w:sz="8" w:space="0"/>
              <w:right w:val="single" w:color="auto" w:sz="8" w:space="0"/>
            </w:tcBorders>
            <w:shd w:val="clear" w:color="auto" w:fill="FFFF99"/>
            <w:tcMar>
              <w:top w:w="0" w:type="dxa"/>
              <w:left w:w="108" w:type="dxa"/>
              <w:bottom w:w="0" w:type="dxa"/>
              <w:right w:w="108" w:type="dxa"/>
            </w:tcMar>
            <w:vAlign w:val="center"/>
          </w:tcPr>
          <w:p w14:paraId="5567719A">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劳动力供求人数比较</w:t>
            </w:r>
          </w:p>
        </w:tc>
      </w:tr>
      <w:tr w14:paraId="3112330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cantSplit/>
          <w:trHeight w:val="567" w:hRule="atLeast"/>
          <w:jc w:val="center"/>
        </w:trPr>
        <w:tc>
          <w:tcPr>
            <w:tcW w:w="2301" w:type="dxa"/>
            <w:vMerge w:val="continue"/>
            <w:tcBorders>
              <w:top w:val="single" w:color="auto" w:sz="8" w:space="0"/>
              <w:left w:val="single" w:color="auto" w:sz="8" w:space="0"/>
              <w:bottom w:val="single" w:color="auto" w:sz="8" w:space="0"/>
              <w:right w:val="single" w:color="auto" w:sz="8" w:space="0"/>
            </w:tcBorders>
            <w:vAlign w:val="center"/>
          </w:tcPr>
          <w:p w14:paraId="7B8B32DD">
            <w:pPr>
              <w:widowControl/>
              <w:spacing w:line="360" w:lineRule="auto"/>
              <w:jc w:val="left"/>
              <w:rPr>
                <w:rFonts w:ascii="宋体" w:hAnsi="宋体" w:cs="宋体"/>
                <w:kern w:val="0"/>
                <w:sz w:val="24"/>
              </w:rPr>
            </w:pPr>
          </w:p>
        </w:tc>
        <w:tc>
          <w:tcPr>
            <w:tcW w:w="840"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14:paraId="4856D531">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第二季度</w:t>
            </w:r>
            <w:r>
              <w:rPr>
                <w:rFonts w:hint="eastAsia" w:ascii="宋体" w:hAnsi="宋体" w:cs="宋体"/>
                <w:kern w:val="0"/>
                <w:sz w:val="24"/>
              </w:rPr>
              <w:t>需求人数（人）</w:t>
            </w:r>
          </w:p>
        </w:tc>
        <w:tc>
          <w:tcPr>
            <w:tcW w:w="1095"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14:paraId="1680BC76">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第二季度</w:t>
            </w:r>
            <w:r>
              <w:rPr>
                <w:rFonts w:hint="eastAsia" w:ascii="宋体" w:hAnsi="宋体" w:cs="宋体"/>
                <w:kern w:val="0"/>
                <w:sz w:val="24"/>
              </w:rPr>
              <w:t>需求比重（</w:t>
            </w:r>
            <w:r>
              <w:rPr>
                <w:rFonts w:ascii="宋体" w:hAnsi="宋体" w:cs="宋体"/>
                <w:kern w:val="0"/>
                <w:sz w:val="24"/>
              </w:rPr>
              <w:t>%</w:t>
            </w:r>
            <w:r>
              <w:rPr>
                <w:rFonts w:hint="eastAsia" w:ascii="宋体" w:hAnsi="宋体" w:cs="宋体"/>
                <w:kern w:val="0"/>
                <w:sz w:val="24"/>
              </w:rPr>
              <w:t>）</w:t>
            </w:r>
          </w:p>
        </w:tc>
        <w:tc>
          <w:tcPr>
            <w:tcW w:w="990"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14:paraId="437AF749">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第二季度</w:t>
            </w:r>
            <w:r>
              <w:rPr>
                <w:rFonts w:hint="eastAsia" w:ascii="宋体" w:hAnsi="宋体" w:cs="宋体"/>
                <w:kern w:val="0"/>
                <w:sz w:val="24"/>
              </w:rPr>
              <w:t>求职人数（人）</w:t>
            </w:r>
          </w:p>
        </w:tc>
        <w:tc>
          <w:tcPr>
            <w:tcW w:w="1305"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14:paraId="3516F52A">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第二季度</w:t>
            </w:r>
            <w:r>
              <w:rPr>
                <w:rFonts w:hint="eastAsia" w:ascii="宋体" w:hAnsi="宋体" w:cs="宋体"/>
                <w:kern w:val="0"/>
                <w:sz w:val="24"/>
              </w:rPr>
              <w:t>求职比重（</w:t>
            </w:r>
            <w:r>
              <w:rPr>
                <w:rFonts w:ascii="宋体" w:hAnsi="宋体" w:cs="宋体"/>
                <w:kern w:val="0"/>
                <w:sz w:val="24"/>
              </w:rPr>
              <w:t>%</w:t>
            </w:r>
            <w:r>
              <w:rPr>
                <w:rFonts w:hint="eastAsia" w:ascii="宋体" w:hAnsi="宋体" w:cs="宋体"/>
                <w:kern w:val="0"/>
                <w:sz w:val="24"/>
              </w:rPr>
              <w:t>）</w:t>
            </w:r>
          </w:p>
        </w:tc>
        <w:tc>
          <w:tcPr>
            <w:tcW w:w="930" w:type="dxa"/>
            <w:tcBorders>
              <w:top w:val="nil"/>
              <w:left w:val="nil"/>
              <w:bottom w:val="single" w:color="auto" w:sz="8" w:space="0"/>
              <w:right w:val="single" w:color="auto" w:sz="8" w:space="0"/>
            </w:tcBorders>
            <w:shd w:val="clear" w:color="auto" w:fill="FFFF99"/>
            <w:tcMar>
              <w:top w:w="0" w:type="dxa"/>
              <w:left w:w="108" w:type="dxa"/>
              <w:bottom w:w="0" w:type="dxa"/>
              <w:right w:w="108" w:type="dxa"/>
            </w:tcMar>
            <w:vAlign w:val="center"/>
          </w:tcPr>
          <w:p w14:paraId="107DEC48">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lang w:eastAsia="zh-CN"/>
              </w:rPr>
              <w:t>第二季度</w:t>
            </w:r>
            <w:r>
              <w:rPr>
                <w:rFonts w:hint="eastAsia" w:ascii="宋体" w:hAnsi="宋体" w:cs="宋体"/>
                <w:kern w:val="0"/>
                <w:sz w:val="24"/>
              </w:rPr>
              <w:t>求人倍率</w:t>
            </w:r>
          </w:p>
        </w:tc>
      </w:tr>
      <w:tr w14:paraId="6AB0DE5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11EB8E0E">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职业资格五级</w:t>
            </w:r>
          </w:p>
          <w:p w14:paraId="3121E617">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(初级技能)</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7A850162">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19906</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337F76EA">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37.60%</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433E80EE">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15977</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235E9848">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36.41%</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14:paraId="35AEAA35">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1.25 </w:t>
            </w:r>
          </w:p>
        </w:tc>
      </w:tr>
      <w:tr w14:paraId="20C1351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204FD63F">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职业资格四级</w:t>
            </w:r>
          </w:p>
          <w:p w14:paraId="2CC12B78">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(中级技能)</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55B0A971">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3644</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6911E2CE">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6.88%</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692DA6A8">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2755</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4091A906">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6.28%</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14:paraId="3CD58208">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1.32 </w:t>
            </w:r>
          </w:p>
        </w:tc>
      </w:tr>
      <w:tr w14:paraId="7F93E59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12FC9AB4">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职业资格三级</w:t>
            </w:r>
          </w:p>
          <w:p w14:paraId="0710DCF8">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(高级技能)</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314AE57A">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1338</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7A26457E">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2.53%</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13CCE073">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879</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1D982531">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2.00%</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14:paraId="30D6E1AE">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1.52 </w:t>
            </w:r>
          </w:p>
        </w:tc>
      </w:tr>
      <w:tr w14:paraId="2AF2657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3BB2D9DE">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职业资格二级(技师)</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6F516659">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447</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72E84DCB">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0.84%</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3F1D6297">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230</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31F8AC7F">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0.52%</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14:paraId="733BC295">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1.94 </w:t>
            </w:r>
          </w:p>
        </w:tc>
      </w:tr>
      <w:tr w14:paraId="72FAFCA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05B3164D">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职业资格一级(高级技师)</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73BBDFA6">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183</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0260C812">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0.35%</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2C79ED6A">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67</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76759FF6">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0.15%</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14:paraId="12651F34">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2.73 </w:t>
            </w:r>
          </w:p>
        </w:tc>
      </w:tr>
      <w:tr w14:paraId="4D96A14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79729D99">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初级专业技术职务</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07E4660D">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1076</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3F5908DF">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2.03%</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56D72F5F">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894</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3A0A5A0F">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2.04%</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14:paraId="214F15E3">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1.20 </w:t>
            </w:r>
          </w:p>
        </w:tc>
      </w:tr>
      <w:tr w14:paraId="1E2A7E4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7202D9E6">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中级专业技术职务</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4A477440">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483</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2D1591C9">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0.91%</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39FB6015">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290</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53F52DEC">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0.66%</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14:paraId="22055FF1">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1.67 </w:t>
            </w:r>
          </w:p>
        </w:tc>
      </w:tr>
      <w:tr w14:paraId="3DBBFCD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32766382">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高级专业技术职务</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1A88E6D4">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73</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684A2D1A">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0.14%</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25952EF8">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37</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372A5899">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0.08%</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14:paraId="2AAB38B6">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1.97 </w:t>
            </w:r>
          </w:p>
        </w:tc>
      </w:tr>
      <w:tr w14:paraId="1EB62BF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2B30AD1E">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无技术等级或职称</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4C1F0364">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2001FA63">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3260C7F8">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22755</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1953B21A">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51.85%</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14:paraId="3E43CC24">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1.13 </w:t>
            </w:r>
          </w:p>
        </w:tc>
      </w:tr>
      <w:tr w14:paraId="2BF0D34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0F948C8B">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无要求</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24C59843">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25788</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520C306B">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48.71%</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48FCEF91">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6C5759B3">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14:paraId="55C858E2">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w:t>
            </w:r>
          </w:p>
        </w:tc>
      </w:tr>
      <w:tr w14:paraId="16DC32F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67" w:hRule="atLeast"/>
          <w:jc w:val="center"/>
        </w:trPr>
        <w:tc>
          <w:tcPr>
            <w:tcW w:w="2301" w:type="dxa"/>
            <w:tcBorders>
              <w:top w:val="nil"/>
              <w:left w:val="single" w:color="auto" w:sz="8" w:space="0"/>
              <w:bottom w:val="single" w:color="auto" w:sz="8" w:space="0"/>
              <w:right w:val="single" w:color="auto" w:sz="8" w:space="0"/>
            </w:tcBorders>
            <w:shd w:val="clear" w:color="auto" w:fill="CCFFCC"/>
            <w:tcMar>
              <w:top w:w="0" w:type="dxa"/>
              <w:left w:w="108" w:type="dxa"/>
              <w:bottom w:w="0" w:type="dxa"/>
              <w:right w:w="108" w:type="dxa"/>
            </w:tcMar>
            <w:vAlign w:val="center"/>
          </w:tcPr>
          <w:p w14:paraId="7C36057F">
            <w:pPr>
              <w:widowControl/>
              <w:spacing w:before="100" w:beforeAutospacing="1" w:after="100" w:afterAutospacing="1" w:line="360" w:lineRule="auto"/>
              <w:jc w:val="center"/>
              <w:rPr>
                <w:rFonts w:ascii="宋体" w:hAnsi="宋体" w:cs="宋体"/>
                <w:kern w:val="0"/>
                <w:sz w:val="24"/>
              </w:rPr>
            </w:pPr>
            <w:r>
              <w:rPr>
                <w:rFonts w:hint="eastAsia" w:ascii="宋体" w:hAnsi="宋体" w:cs="宋体"/>
                <w:kern w:val="0"/>
                <w:sz w:val="24"/>
              </w:rPr>
              <w:t>合计</w:t>
            </w:r>
          </w:p>
        </w:tc>
        <w:tc>
          <w:tcPr>
            <w:tcW w:w="840"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69D72B6C">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52938</w:t>
            </w:r>
          </w:p>
        </w:tc>
        <w:tc>
          <w:tcPr>
            <w:tcW w:w="1095" w:type="dxa"/>
            <w:tcBorders>
              <w:top w:val="single" w:color="auto" w:sz="8" w:space="0"/>
              <w:left w:val="nil"/>
              <w:bottom w:val="single" w:color="auto" w:sz="8" w:space="0"/>
              <w:right w:val="single" w:color="auto" w:sz="8" w:space="0"/>
            </w:tcBorders>
            <w:shd w:val="clear" w:color="auto" w:fill="CCFFFF"/>
            <w:tcMar>
              <w:top w:w="0" w:type="dxa"/>
              <w:left w:w="108" w:type="dxa"/>
              <w:bottom w:w="0" w:type="dxa"/>
              <w:right w:w="108" w:type="dxa"/>
            </w:tcMar>
            <w:vAlign w:val="center"/>
          </w:tcPr>
          <w:p w14:paraId="7DD677C8">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100.00%</w:t>
            </w:r>
          </w:p>
        </w:tc>
        <w:tc>
          <w:tcPr>
            <w:tcW w:w="990"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108B47EF">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43884</w:t>
            </w:r>
          </w:p>
        </w:tc>
        <w:tc>
          <w:tcPr>
            <w:tcW w:w="1305" w:type="dxa"/>
            <w:tcBorders>
              <w:top w:val="single" w:color="auto" w:sz="8" w:space="0"/>
              <w:left w:val="nil"/>
              <w:bottom w:val="single" w:color="auto" w:sz="8" w:space="0"/>
              <w:right w:val="single" w:color="auto" w:sz="8" w:space="0"/>
            </w:tcBorders>
            <w:shd w:val="clear" w:color="auto" w:fill="99CCFF"/>
            <w:tcMar>
              <w:top w:w="0" w:type="dxa"/>
              <w:left w:w="108" w:type="dxa"/>
              <w:bottom w:w="0" w:type="dxa"/>
              <w:right w:w="108" w:type="dxa"/>
            </w:tcMar>
            <w:vAlign w:val="center"/>
          </w:tcPr>
          <w:p w14:paraId="62B26862">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100.00%</w:t>
            </w:r>
          </w:p>
        </w:tc>
        <w:tc>
          <w:tcPr>
            <w:tcW w:w="930" w:type="dxa"/>
            <w:tcBorders>
              <w:top w:val="single" w:color="auto" w:sz="8" w:space="0"/>
              <w:left w:val="nil"/>
              <w:bottom w:val="single" w:color="auto" w:sz="8" w:space="0"/>
              <w:right w:val="single" w:color="auto" w:sz="8" w:space="0"/>
            </w:tcBorders>
            <w:shd w:val="clear" w:color="auto" w:fill="CC99FF"/>
            <w:tcMar>
              <w:top w:w="0" w:type="dxa"/>
              <w:left w:w="108" w:type="dxa"/>
              <w:bottom w:w="0" w:type="dxa"/>
              <w:right w:w="108" w:type="dxa"/>
            </w:tcMar>
            <w:vAlign w:val="center"/>
          </w:tcPr>
          <w:p w14:paraId="7E1125C0">
            <w:pPr>
              <w:keepNext w:val="0"/>
              <w:keepLines w:val="0"/>
              <w:widowControl/>
              <w:suppressLineNumbers w:val="0"/>
              <w:jc w:val="center"/>
              <w:textAlignment w:val="center"/>
              <w:rPr>
                <w:rFonts w:hint="eastAsia"/>
                <w:sz w:val="24"/>
                <w:lang w:val="en-US" w:eastAsia="zh-CN"/>
              </w:rPr>
            </w:pPr>
            <w:r>
              <w:rPr>
                <w:rFonts w:hint="eastAsia" w:ascii="宋体" w:hAnsi="宋体" w:eastAsia="宋体" w:cs="宋体"/>
                <w:i w:val="0"/>
                <w:iCs w:val="0"/>
                <w:color w:val="000000"/>
                <w:kern w:val="0"/>
                <w:sz w:val="22"/>
                <w:szCs w:val="22"/>
                <w:u w:val="none"/>
                <w:lang w:val="en-US" w:eastAsia="zh-CN" w:bidi="ar"/>
              </w:rPr>
              <w:t xml:space="preserve">1.21 </w:t>
            </w:r>
          </w:p>
        </w:tc>
      </w:tr>
    </w:tbl>
    <w:p w14:paraId="3CCB5259">
      <w:pPr>
        <w:adjustRightInd w:val="0"/>
        <w:snapToGrid w:val="0"/>
        <w:spacing w:line="360" w:lineRule="auto"/>
        <w:jc w:val="left"/>
        <w:rPr>
          <w:rFonts w:ascii="宋体" w:hAnsi="宋体"/>
          <w:sz w:val="24"/>
          <w:highlight w:val="yellow"/>
        </w:rPr>
      </w:pPr>
    </w:p>
    <w:p w14:paraId="31E7B9DA">
      <w:pPr>
        <w:keepNext w:val="0"/>
        <w:keepLines w:val="0"/>
        <w:pageBreakBefore w:val="0"/>
        <w:kinsoku/>
        <w:wordWrap/>
        <w:overflowPunct/>
        <w:topLinePunct w:val="0"/>
        <w:autoSpaceDE/>
        <w:autoSpaceDN/>
        <w:bidi w:val="0"/>
        <w:adjustRightInd w:val="0"/>
        <w:snapToGrid w:val="0"/>
        <w:spacing w:line="360" w:lineRule="auto"/>
        <w:ind w:firstLine="480" w:firstLineChars="200"/>
        <w:jc w:val="left"/>
        <w:textAlignment w:val="auto"/>
        <w:rPr>
          <w:rFonts w:ascii="宋体" w:hAnsi="宋体"/>
          <w:b/>
          <w:sz w:val="24"/>
        </w:rPr>
      </w:pPr>
      <w:r>
        <w:rPr>
          <w:rFonts w:hint="eastAsia" w:ascii="宋体" w:hAnsi="宋体"/>
          <w:sz w:val="24"/>
        </w:rPr>
        <w:t>三、</w:t>
      </w:r>
      <w:r>
        <w:rPr>
          <w:rFonts w:hint="eastAsia" w:ascii="宋体" w:hAnsi="宋体"/>
          <w:b/>
          <w:sz w:val="24"/>
          <w:lang w:val="en-US" w:eastAsia="zh-CN"/>
        </w:rPr>
        <w:t>2023年第二季度人</w:t>
      </w:r>
      <w:r>
        <w:rPr>
          <w:rFonts w:hint="eastAsia" w:ascii="宋体" w:hAnsi="宋体"/>
          <w:b/>
          <w:sz w:val="24"/>
        </w:rPr>
        <w:t>力资源市场运行状况和特点及应对措施</w:t>
      </w:r>
    </w:p>
    <w:p w14:paraId="699B8381">
      <w:pPr>
        <w:keepNext w:val="0"/>
        <w:keepLines w:val="0"/>
        <w:pageBreakBefore w:val="0"/>
        <w:kinsoku/>
        <w:wordWrap/>
        <w:overflowPunct/>
        <w:topLinePunct w:val="0"/>
        <w:autoSpaceDE/>
        <w:autoSpaceDN/>
        <w:bidi w:val="0"/>
        <w:adjustRightInd w:val="0"/>
        <w:snapToGrid w:val="0"/>
        <w:spacing w:line="360" w:lineRule="auto"/>
        <w:ind w:firstLine="482" w:firstLineChars="200"/>
        <w:jc w:val="left"/>
        <w:textAlignment w:val="auto"/>
        <w:rPr>
          <w:rFonts w:ascii="宋体" w:hAnsi="宋体"/>
          <w:b/>
          <w:sz w:val="24"/>
        </w:rPr>
      </w:pPr>
      <w:r>
        <w:rPr>
          <w:rFonts w:hint="eastAsia" w:ascii="宋体" w:hAnsi="宋体"/>
          <w:b/>
          <w:sz w:val="24"/>
        </w:rPr>
        <w:t>（一）</w:t>
      </w:r>
      <w:r>
        <w:rPr>
          <w:rFonts w:hint="eastAsia" w:ascii="宋体" w:hAnsi="宋体"/>
          <w:b/>
          <w:sz w:val="24"/>
          <w:lang w:val="en-US" w:eastAsia="zh-CN"/>
        </w:rPr>
        <w:t>第二季度人</w:t>
      </w:r>
      <w:r>
        <w:rPr>
          <w:rFonts w:hint="eastAsia" w:ascii="宋体" w:hAnsi="宋体"/>
          <w:b/>
          <w:sz w:val="24"/>
        </w:rPr>
        <w:t>力</w:t>
      </w:r>
      <w:bookmarkStart w:id="0" w:name="_GoBack"/>
      <w:bookmarkEnd w:id="0"/>
      <w:r>
        <w:rPr>
          <w:rFonts w:hint="eastAsia" w:ascii="宋体" w:hAnsi="宋体"/>
          <w:b/>
          <w:sz w:val="24"/>
        </w:rPr>
        <w:t>资源市场运行状况和特点</w:t>
      </w:r>
    </w:p>
    <w:p w14:paraId="5876F5F4">
      <w:pPr>
        <w:keepNext w:val="0"/>
        <w:keepLines w:val="0"/>
        <w:pageBreakBefore w:val="0"/>
        <w:kinsoku/>
        <w:wordWrap/>
        <w:overflowPunct/>
        <w:topLinePunct w:val="0"/>
        <w:autoSpaceDE/>
        <w:autoSpaceDN/>
        <w:bidi w:val="0"/>
        <w:adjustRightInd w:val="0"/>
        <w:snapToGrid w:val="0"/>
        <w:spacing w:line="360" w:lineRule="auto"/>
        <w:ind w:firstLine="420"/>
        <w:jc w:val="left"/>
        <w:textAlignment w:val="auto"/>
        <w:rPr>
          <w:rFonts w:ascii="宋体" w:hAnsi="宋体"/>
          <w:sz w:val="24"/>
        </w:rPr>
      </w:pPr>
      <w:r>
        <w:rPr>
          <w:rFonts w:hint="eastAsia" w:ascii="宋体" w:hAnsi="宋体"/>
          <w:sz w:val="24"/>
          <w:lang w:eastAsia="zh-CN"/>
        </w:rPr>
        <w:t>第二季度</w:t>
      </w:r>
      <w:r>
        <w:rPr>
          <w:rFonts w:hint="eastAsia" w:ascii="宋体" w:hAnsi="宋体"/>
          <w:sz w:val="24"/>
        </w:rPr>
        <w:t>需求数为</w:t>
      </w:r>
      <w:r>
        <w:rPr>
          <w:rFonts w:hint="eastAsia" w:ascii="宋体" w:hAnsi="宋体"/>
          <w:sz w:val="24"/>
          <w:lang w:val="en-US" w:eastAsia="zh-CN"/>
        </w:rPr>
        <w:t>52938</w:t>
      </w:r>
      <w:r>
        <w:rPr>
          <w:rFonts w:hint="eastAsia" w:ascii="宋体" w:hAnsi="宋体"/>
          <w:sz w:val="24"/>
        </w:rPr>
        <w:t>人，求职数为</w:t>
      </w:r>
      <w:r>
        <w:rPr>
          <w:rFonts w:hint="eastAsia" w:ascii="宋体" w:hAnsi="宋体"/>
          <w:sz w:val="24"/>
          <w:lang w:val="en-US" w:eastAsia="zh-CN"/>
        </w:rPr>
        <w:t>43884</w:t>
      </w:r>
      <w:r>
        <w:rPr>
          <w:rFonts w:hint="eastAsia" w:ascii="宋体" w:hAnsi="宋体"/>
          <w:sz w:val="24"/>
        </w:rPr>
        <w:t>人，求人倍率为1.2</w:t>
      </w:r>
      <w:r>
        <w:rPr>
          <w:rFonts w:hint="eastAsia" w:ascii="宋体" w:hAnsi="宋体"/>
          <w:sz w:val="24"/>
          <w:lang w:val="en-US" w:eastAsia="zh-CN"/>
        </w:rPr>
        <w:t>1</w:t>
      </w:r>
      <w:r>
        <w:rPr>
          <w:rFonts w:hint="eastAsia" w:ascii="宋体" w:hAnsi="宋体"/>
          <w:sz w:val="24"/>
        </w:rPr>
        <w:t>，求人倍率</w:t>
      </w:r>
      <w:r>
        <w:rPr>
          <w:rFonts w:hint="eastAsia" w:ascii="宋体" w:hAnsi="宋体"/>
          <w:sz w:val="24"/>
          <w:lang w:val="en-US" w:eastAsia="zh-CN"/>
        </w:rPr>
        <w:t>和今年第一季度保持持平</w:t>
      </w:r>
      <w:r>
        <w:rPr>
          <w:rFonts w:hint="eastAsia" w:ascii="宋体" w:hAnsi="宋体"/>
          <w:sz w:val="24"/>
        </w:rPr>
        <w:t>。</w:t>
      </w:r>
      <w:r>
        <w:rPr>
          <w:rFonts w:hint="eastAsia" w:ascii="宋体" w:hAnsi="宋体"/>
          <w:sz w:val="24"/>
          <w:lang w:val="en-US" w:eastAsia="zh-CN"/>
        </w:rPr>
        <w:t>总体来说</w:t>
      </w:r>
      <w:r>
        <w:rPr>
          <w:rFonts w:hint="eastAsia" w:ascii="宋体" w:hAnsi="宋体"/>
          <w:sz w:val="24"/>
        </w:rPr>
        <w:t>，</w:t>
      </w:r>
      <w:r>
        <w:rPr>
          <w:rFonts w:hint="eastAsia" w:ascii="宋体" w:hAnsi="宋体"/>
          <w:sz w:val="24"/>
          <w:lang w:val="en-US" w:eastAsia="zh-CN"/>
        </w:rPr>
        <w:t>企业需求人数和求职人数都有所增加，</w:t>
      </w:r>
      <w:r>
        <w:rPr>
          <w:rFonts w:hint="eastAsia" w:ascii="宋体" w:hAnsi="宋体"/>
          <w:sz w:val="24"/>
        </w:rPr>
        <w:t>但企业一线操作工缺口还比较大</w:t>
      </w:r>
      <w:r>
        <w:rPr>
          <w:rFonts w:hint="eastAsia" w:ascii="宋体" w:hAnsi="宋体"/>
          <w:sz w:val="24"/>
          <w:lang w:eastAsia="zh-CN"/>
        </w:rPr>
        <w:t>，</w:t>
      </w:r>
      <w:r>
        <w:rPr>
          <w:rFonts w:hint="eastAsia" w:ascii="宋体" w:hAnsi="宋体"/>
          <w:sz w:val="24"/>
          <w:lang w:val="en-US" w:eastAsia="zh-CN"/>
        </w:rPr>
        <w:t>企业招工还存在着一些问题</w:t>
      </w:r>
      <w:r>
        <w:rPr>
          <w:rFonts w:hint="eastAsia" w:ascii="宋体" w:hAnsi="宋体"/>
          <w:sz w:val="24"/>
        </w:rPr>
        <w:t>。</w:t>
      </w:r>
    </w:p>
    <w:p w14:paraId="5D342F75">
      <w:pPr>
        <w:keepNext w:val="0"/>
        <w:keepLines w:val="0"/>
        <w:pageBreakBefore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b/>
          <w:sz w:val="24"/>
          <w:lang w:val="en-US" w:eastAsia="zh-CN"/>
        </w:rPr>
      </w:pPr>
      <w:r>
        <w:rPr>
          <w:rFonts w:hint="eastAsia" w:ascii="宋体" w:hAnsi="宋体"/>
          <w:b/>
          <w:sz w:val="24"/>
        </w:rPr>
        <w:t>（二）招工难的原因分析</w:t>
      </w:r>
    </w:p>
    <w:p w14:paraId="59F427C9">
      <w:pPr>
        <w:keepNext w:val="0"/>
        <w:keepLines w:val="0"/>
        <w:pageBreakBefore w:val="0"/>
        <w:kinsoku/>
        <w:wordWrap/>
        <w:overflowPunct/>
        <w:topLinePunct w:val="0"/>
        <w:autoSpaceDE/>
        <w:autoSpaceDN/>
        <w:bidi w:val="0"/>
        <w:spacing w:line="360" w:lineRule="auto"/>
        <w:ind w:firstLine="482" w:firstLineChars="200"/>
        <w:textAlignment w:val="auto"/>
        <w:rPr>
          <w:rFonts w:hint="eastAsia" w:ascii="宋体" w:hAnsi="宋体"/>
          <w:b/>
          <w:sz w:val="24"/>
          <w:lang w:val="en-US" w:eastAsia="zh-CN"/>
        </w:rPr>
      </w:pPr>
      <w:r>
        <w:rPr>
          <w:rFonts w:hint="eastAsia" w:ascii="宋体" w:hAnsi="宋体"/>
          <w:b/>
          <w:sz w:val="24"/>
          <w:lang w:val="en-US" w:eastAsia="zh-CN"/>
        </w:rPr>
        <w:t>1.就业观念的改变</w:t>
      </w:r>
    </w:p>
    <w:p w14:paraId="0CC0A912">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宋体" w:hAnsi="宋体" w:eastAsia="宋体"/>
          <w:sz w:val="24"/>
          <w:lang w:eastAsia="zh-CN"/>
        </w:rPr>
      </w:pPr>
      <w:r>
        <w:rPr>
          <w:rFonts w:hint="eastAsia" w:ascii="宋体" w:hAnsi="宋体"/>
          <w:sz w:val="24"/>
        </w:rPr>
        <w:t>由于物质生活条件的改善及经济社会的快速发展，现在年轻人赚钱养家糊口之外，更加在意自由的工作方式和自我价值的实现</w:t>
      </w:r>
      <w:r>
        <w:rPr>
          <w:rFonts w:hint="eastAsia" w:ascii="宋体" w:hAnsi="宋体"/>
          <w:sz w:val="24"/>
          <w:lang w:eastAsia="zh-CN"/>
        </w:rPr>
        <w:t>；</w:t>
      </w:r>
    </w:p>
    <w:p w14:paraId="0D8F13A5">
      <w:pPr>
        <w:keepNext w:val="0"/>
        <w:keepLines w:val="0"/>
        <w:pageBreakBefore w:val="0"/>
        <w:numPr>
          <w:ilvl w:val="0"/>
          <w:numId w:val="0"/>
        </w:numPr>
        <w:kinsoku/>
        <w:wordWrap/>
        <w:overflowPunct/>
        <w:topLinePunct w:val="0"/>
        <w:autoSpaceDE/>
        <w:autoSpaceDN/>
        <w:bidi w:val="0"/>
        <w:spacing w:line="360" w:lineRule="auto"/>
        <w:ind w:firstLine="482" w:firstLineChars="200"/>
        <w:textAlignment w:val="auto"/>
        <w:rPr>
          <w:rFonts w:hint="eastAsia" w:ascii="宋体" w:hAnsi="宋体"/>
          <w:b/>
          <w:sz w:val="24"/>
          <w:lang w:val="en-US" w:eastAsia="zh-CN"/>
        </w:rPr>
      </w:pPr>
      <w:r>
        <w:rPr>
          <w:rFonts w:hint="eastAsia" w:ascii="宋体" w:hAnsi="宋体"/>
          <w:b/>
          <w:sz w:val="24"/>
          <w:lang w:val="en-US" w:eastAsia="zh-CN"/>
        </w:rPr>
        <w:t>2.中小企业无力创造高薪岗位</w:t>
      </w:r>
    </w:p>
    <w:p w14:paraId="4F97F829">
      <w:pPr>
        <w:keepNext w:val="0"/>
        <w:keepLines w:val="0"/>
        <w:pageBreakBefore w:val="0"/>
        <w:numPr>
          <w:ilvl w:val="0"/>
          <w:numId w:val="0"/>
        </w:numPr>
        <w:kinsoku/>
        <w:wordWrap/>
        <w:overflowPunct/>
        <w:topLinePunct w:val="0"/>
        <w:autoSpaceDE/>
        <w:autoSpaceDN/>
        <w:bidi w:val="0"/>
        <w:spacing w:line="360" w:lineRule="auto"/>
        <w:ind w:firstLine="480" w:firstLineChars="200"/>
        <w:textAlignment w:val="auto"/>
        <w:rPr>
          <w:rFonts w:hint="eastAsia" w:ascii="宋体" w:hAnsi="宋体"/>
          <w:sz w:val="24"/>
        </w:rPr>
      </w:pPr>
      <w:r>
        <w:rPr>
          <w:rFonts w:hint="eastAsia" w:ascii="宋体" w:hAnsi="宋体"/>
          <w:sz w:val="24"/>
        </w:rPr>
        <w:t>不提高工资水平，企业就招不够人，原材料、能源价格上涨、消费不振是短期原因，而技术创新滞后导致丧失产品定价权则是长期原因。</w:t>
      </w:r>
    </w:p>
    <w:p w14:paraId="6FAFC9E4">
      <w:pPr>
        <w:keepNext w:val="0"/>
        <w:keepLines w:val="0"/>
        <w:pageBreakBefore w:val="0"/>
        <w:numPr>
          <w:ilvl w:val="0"/>
          <w:numId w:val="0"/>
        </w:numPr>
        <w:kinsoku/>
        <w:wordWrap/>
        <w:overflowPunct/>
        <w:topLinePunct w:val="0"/>
        <w:autoSpaceDE/>
        <w:autoSpaceDN/>
        <w:bidi w:val="0"/>
        <w:spacing w:line="360" w:lineRule="auto"/>
        <w:ind w:firstLine="482" w:firstLineChars="200"/>
        <w:textAlignment w:val="auto"/>
        <w:rPr>
          <w:rFonts w:hint="eastAsia" w:ascii="宋体" w:hAnsi="宋体"/>
          <w:b/>
          <w:sz w:val="24"/>
          <w:lang w:val="en-US" w:eastAsia="zh-CN"/>
        </w:rPr>
      </w:pPr>
      <w:r>
        <w:rPr>
          <w:rFonts w:hint="eastAsia" w:ascii="宋体" w:hAnsi="宋体"/>
          <w:b/>
          <w:sz w:val="24"/>
          <w:lang w:val="en-US" w:eastAsia="zh-CN"/>
        </w:rPr>
        <w:t>3.中介乱象加剧劳动力市场的信息不对称</w:t>
      </w:r>
    </w:p>
    <w:p w14:paraId="145A861F">
      <w:pPr>
        <w:keepNext w:val="0"/>
        <w:keepLines w:val="0"/>
        <w:pageBreakBefore w:val="0"/>
        <w:numPr>
          <w:ilvl w:val="0"/>
          <w:numId w:val="0"/>
        </w:numPr>
        <w:kinsoku/>
        <w:wordWrap/>
        <w:overflowPunct/>
        <w:topLinePunct w:val="0"/>
        <w:autoSpaceDE/>
        <w:autoSpaceDN/>
        <w:bidi w:val="0"/>
        <w:spacing w:line="360" w:lineRule="auto"/>
        <w:ind w:firstLine="480" w:firstLineChars="200"/>
        <w:textAlignment w:val="auto"/>
        <w:rPr>
          <w:rFonts w:hint="eastAsia" w:ascii="宋体" w:hAnsi="宋体"/>
          <w:sz w:val="24"/>
        </w:rPr>
      </w:pPr>
      <w:r>
        <w:rPr>
          <w:rFonts w:hint="eastAsia" w:ascii="宋体" w:hAnsi="宋体"/>
          <w:sz w:val="24"/>
        </w:rPr>
        <w:t>企业信不过信誉欠佳的中介，劳动者也不愿相信中介信息，招工难和就业难再次被强化。</w:t>
      </w:r>
    </w:p>
    <w:p w14:paraId="37E84109">
      <w:pPr>
        <w:pStyle w:val="20"/>
        <w:keepNext w:val="0"/>
        <w:keepLines w:val="0"/>
        <w:pageBreakBefore w:val="0"/>
        <w:numPr>
          <w:ilvl w:val="0"/>
          <w:numId w:val="0"/>
        </w:numPr>
        <w:kinsoku/>
        <w:wordWrap/>
        <w:overflowPunct/>
        <w:topLinePunct w:val="0"/>
        <w:autoSpaceDE/>
        <w:autoSpaceDN/>
        <w:bidi w:val="0"/>
        <w:spacing w:line="360" w:lineRule="auto"/>
        <w:ind w:leftChars="0" w:firstLine="482" w:firstLineChars="200"/>
        <w:textAlignment w:val="auto"/>
        <w:rPr>
          <w:rFonts w:ascii="宋体" w:hAnsi="宋体"/>
          <w:b/>
          <w:sz w:val="24"/>
        </w:rPr>
      </w:pPr>
      <w:r>
        <w:rPr>
          <w:rFonts w:hint="eastAsia" w:ascii="宋体" w:hAnsi="宋体"/>
          <w:b/>
          <w:sz w:val="24"/>
          <w:lang w:val="en-US" w:eastAsia="zh-CN"/>
        </w:rPr>
        <w:t>（三）</w:t>
      </w:r>
      <w:r>
        <w:rPr>
          <w:rFonts w:hint="eastAsia" w:ascii="宋体" w:hAnsi="宋体"/>
          <w:b/>
          <w:sz w:val="24"/>
        </w:rPr>
        <w:t>针对以上情况，我市采取了积极的应对措施</w:t>
      </w:r>
    </w:p>
    <w:p w14:paraId="119ACF7A">
      <w:pPr>
        <w:keepNext w:val="0"/>
        <w:keepLines w:val="0"/>
        <w:pageBreakBefore w:val="0"/>
        <w:kinsoku/>
        <w:wordWrap/>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kern w:val="44"/>
          <w:sz w:val="24"/>
          <w:szCs w:val="48"/>
          <w:lang w:val="en-US" w:eastAsia="zh-CN" w:bidi="ar"/>
        </w:rPr>
      </w:pPr>
      <w:r>
        <w:rPr>
          <w:rFonts w:hint="eastAsia" w:ascii="宋体" w:hAnsi="宋体"/>
          <w:b/>
          <w:sz w:val="24"/>
          <w:lang w:val="en-US" w:eastAsia="zh-CN"/>
        </w:rPr>
        <w:t>1.</w:t>
      </w:r>
      <w:r>
        <w:rPr>
          <w:rFonts w:hint="eastAsia" w:ascii="宋体" w:hAnsi="宋体" w:eastAsia="宋体" w:cs="宋体"/>
          <w:b/>
          <w:bCs/>
          <w:kern w:val="44"/>
          <w:sz w:val="24"/>
          <w:szCs w:val="48"/>
          <w:lang w:val="en-US" w:eastAsia="zh-CN" w:bidi="ar"/>
        </w:rPr>
        <w:t>召开张家港市应用技术人才培养校政企联盟合作大会</w:t>
      </w:r>
    </w:p>
    <w:p w14:paraId="3B3E50A5">
      <w:pPr>
        <w:keepNext w:val="0"/>
        <w:keepLines w:val="0"/>
        <w:pageBreakBefore w:val="0"/>
        <w:kinsoku/>
        <w:wordWrap/>
        <w:overflowPunct/>
        <w:topLinePunct w:val="0"/>
        <w:autoSpaceDE/>
        <w:autoSpaceDN/>
        <w:bidi w:val="0"/>
        <w:adjustRightInd w:val="0"/>
        <w:snapToGrid w:val="0"/>
        <w:spacing w:line="360" w:lineRule="auto"/>
        <w:ind w:firstLine="480" w:firstLineChars="200"/>
        <w:jc w:val="left"/>
        <w:textAlignment w:val="auto"/>
        <w:rPr>
          <w:rFonts w:hint="default" w:ascii="宋体" w:hAnsi="宋体"/>
          <w:sz w:val="24"/>
          <w:lang w:val="en-US" w:eastAsia="zh-CN"/>
        </w:rPr>
      </w:pPr>
      <w:r>
        <w:rPr>
          <w:rFonts w:hint="eastAsia" w:ascii="宋体" w:hAnsi="宋体"/>
          <w:sz w:val="24"/>
        </w:rPr>
        <w:t>张家港始终把人才作为支撑发展的第一资源，开创了人才和城市互相成就、共同发展的良好局面。合作大会的顺利举行，是校政企加强沟通、深化合作的又一生动实践，必将为张家港高质量发展，提供更加强劲的支撑，也必将为全省应用技术人才培养，搭建更加广阔的平台。张家港市委、市政府将持续完善政策体系、优化人才生态，与广大企业和院校一起，在现代化建设新征程上，共同打造合作共赢的样板，携手奔赴更加美好的未来，为“推进新时代人才强省建设”作出新的更大贡献。就业是民生之本，一头连着万家灯火，一头系着经济发展大局。近年来，张家港围绕高质量就业、高质量发展需求，聚焦“4+4”重点产业链，持续加强技能人才引育，厚植技能人才竞争优势。近三年，全市开展各类补贴性职业技能培训33万人次，先后举办校政企合作联盟创新论坛、氢能产业人才峰会等大型活动，邀请超100所高校师生来访城走企，不断提高企业的社会知名度和美誉度。</w:t>
      </w:r>
    </w:p>
    <w:p w14:paraId="2411ABEF">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2" w:firstLineChars="200"/>
        <w:jc w:val="both"/>
        <w:textAlignment w:val="auto"/>
        <w:rPr>
          <w:rFonts w:hint="eastAsia" w:ascii="宋体" w:hAnsi="宋体" w:eastAsia="宋体" w:cs="Times New Roman"/>
          <w:b/>
          <w:bCs w:val="0"/>
          <w:kern w:val="0"/>
          <w:sz w:val="24"/>
          <w:szCs w:val="24"/>
          <w:lang w:val="en-US" w:eastAsia="zh-CN" w:bidi="ar"/>
        </w:rPr>
      </w:pPr>
      <w:r>
        <w:rPr>
          <w:rFonts w:hint="eastAsia"/>
          <w:b/>
          <w:sz w:val="24"/>
          <w:lang w:val="en-US" w:eastAsia="zh-CN"/>
        </w:rPr>
        <w:t>2.举办</w:t>
      </w:r>
      <w:r>
        <w:rPr>
          <w:rFonts w:hint="eastAsia" w:ascii="宋体" w:hAnsi="宋体" w:eastAsia="宋体" w:cs="Times New Roman"/>
          <w:b/>
          <w:bCs w:val="0"/>
          <w:kern w:val="0"/>
          <w:sz w:val="24"/>
          <w:szCs w:val="24"/>
          <w:lang w:val="en-US" w:eastAsia="zh-CN" w:bidi="ar"/>
        </w:rPr>
        <w:t>张家港大学生创业大赛暨第六届“创响江苏”大学生创业大赛</w:t>
      </w:r>
    </w:p>
    <w:p w14:paraId="4A9B7684">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rPr>
          <w:rFonts w:hint="eastAsia" w:ascii="宋体" w:hAnsi="宋体"/>
          <w:sz w:val="24"/>
          <w:lang w:val="en-US" w:eastAsia="zh-CN"/>
        </w:rPr>
      </w:pPr>
      <w:r>
        <w:rPr>
          <w:rFonts w:hint="eastAsia" w:ascii="宋体" w:hAnsi="宋体"/>
          <w:sz w:val="24"/>
          <w:lang w:val="en-US" w:eastAsia="zh-CN"/>
        </w:rPr>
        <w:t>人才是推动发展的第一资源，创新是港城不变的城市底色。近年来，张家港市高度重视人才创新创业工作，紧扣产业创新集群建设，服务经济高质量发展大局，建立完善的“引进培养、发展支持、服务保障、评价激励”全方位、全周期、全链条支持体系，打造成近悦远来的人才之城。大学生视野开阔、充满活力、怀揣梦想、不拘一格，是创业创新的生力军。希望本次创业大赛能够进一步激发青年人才的创业热情，形成青年创业群体中的创业风潮，进而带动整个社会的创业创新氛围。无论是身怀绝技的“千里马”，还是心怀理想的“追梦人”，港城都要竭尽所能，放飞每一位创客的梦想。</w:t>
      </w:r>
    </w:p>
    <w:p w14:paraId="5AB2CA77">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2" w:firstLineChars="200"/>
        <w:jc w:val="both"/>
        <w:textAlignment w:val="auto"/>
        <w:outlineLvl w:val="0"/>
        <w:rPr>
          <w:rFonts w:hint="eastAsia" w:ascii="Times New Roman" w:hAnsi="Times New Roman" w:eastAsia="宋体" w:cs="Times New Roman"/>
          <w:b/>
          <w:bCs w:val="0"/>
          <w:kern w:val="0"/>
          <w:sz w:val="24"/>
          <w:szCs w:val="24"/>
          <w:lang w:val="en-US" w:eastAsia="zh-CN" w:bidi="ar"/>
        </w:rPr>
      </w:pPr>
      <w:r>
        <w:rPr>
          <w:rFonts w:hint="eastAsia" w:ascii="Times New Roman" w:hAnsi="Times New Roman" w:eastAsia="宋体" w:cs="Times New Roman"/>
          <w:b/>
          <w:bCs w:val="0"/>
          <w:kern w:val="0"/>
          <w:sz w:val="24"/>
          <w:szCs w:val="24"/>
          <w:lang w:val="en-US" w:eastAsia="zh-CN" w:bidi="ar"/>
        </w:rPr>
        <w:t>3.举行“菁英归巢 智汇港城”留学回国人员张家港市就业岗位发布仪式</w:t>
      </w:r>
    </w:p>
    <w:p w14:paraId="3DD8AF6E">
      <w:pPr>
        <w:pStyle w:val="2"/>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360" w:lineRule="auto"/>
        <w:ind w:right="0" w:rightChars="0" w:firstLine="480" w:firstLineChars="200"/>
        <w:jc w:val="both"/>
        <w:textAlignment w:val="auto"/>
        <w:outlineLvl w:val="0"/>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近年来，张家港始终把人才作为创新发展的“第一资源”，立足“以产聚才、以才兴产、产才融合”，一体推进科技招商、产业招商、人才招引，正加速成为创新创业人才集聚的凤栖之地、产业活力竞相奔涌的丰沃之地。特别是，张家港把引进留学回国人员作为优化人才结构、提升产业层次的重要举措，在活动引才、平台留才、服务助才等方面系统发力，一批优秀归国人才正在港城施展才华、成就梦想。</w:t>
      </w:r>
    </w:p>
    <w:p w14:paraId="7DA1DA25">
      <w:pPr>
        <w:adjustRightInd w:val="0"/>
        <w:snapToGrid w:val="0"/>
        <w:spacing w:line="360" w:lineRule="auto"/>
        <w:jc w:val="left"/>
        <w:rPr>
          <w:color w:val="FF0000"/>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2EwMjMyNWU4MzNmNjc5YzQyYTE1OGVlM2ExNDFhZGEifQ=="/>
  </w:docVars>
  <w:rsids>
    <w:rsidRoot w:val="00F405B7"/>
    <w:rsid w:val="00006087"/>
    <w:rsid w:val="00012187"/>
    <w:rsid w:val="00013747"/>
    <w:rsid w:val="00016DE2"/>
    <w:rsid w:val="000227BC"/>
    <w:rsid w:val="0003728A"/>
    <w:rsid w:val="00043478"/>
    <w:rsid w:val="0004598D"/>
    <w:rsid w:val="000478D2"/>
    <w:rsid w:val="00050931"/>
    <w:rsid w:val="00050C5E"/>
    <w:rsid w:val="00055F6F"/>
    <w:rsid w:val="000567AE"/>
    <w:rsid w:val="000630B7"/>
    <w:rsid w:val="000664E1"/>
    <w:rsid w:val="00066803"/>
    <w:rsid w:val="000668D0"/>
    <w:rsid w:val="00066E64"/>
    <w:rsid w:val="000678B7"/>
    <w:rsid w:val="00072F3E"/>
    <w:rsid w:val="00073D32"/>
    <w:rsid w:val="000822DD"/>
    <w:rsid w:val="0008306D"/>
    <w:rsid w:val="00083974"/>
    <w:rsid w:val="00084B52"/>
    <w:rsid w:val="000855F8"/>
    <w:rsid w:val="000A071E"/>
    <w:rsid w:val="000A7056"/>
    <w:rsid w:val="000B13B0"/>
    <w:rsid w:val="000B1841"/>
    <w:rsid w:val="000B2CD7"/>
    <w:rsid w:val="000B4C20"/>
    <w:rsid w:val="000C5A43"/>
    <w:rsid w:val="000E0C58"/>
    <w:rsid w:val="000E3DFC"/>
    <w:rsid w:val="000F43F0"/>
    <w:rsid w:val="000F69C1"/>
    <w:rsid w:val="000F70AB"/>
    <w:rsid w:val="001104E1"/>
    <w:rsid w:val="00111C0D"/>
    <w:rsid w:val="001147B4"/>
    <w:rsid w:val="00117B68"/>
    <w:rsid w:val="001248F1"/>
    <w:rsid w:val="00125ACA"/>
    <w:rsid w:val="00125D19"/>
    <w:rsid w:val="001262CA"/>
    <w:rsid w:val="00140ECF"/>
    <w:rsid w:val="00142CEF"/>
    <w:rsid w:val="00147C96"/>
    <w:rsid w:val="00151CFC"/>
    <w:rsid w:val="001524CF"/>
    <w:rsid w:val="00154FC5"/>
    <w:rsid w:val="001601F0"/>
    <w:rsid w:val="001606F9"/>
    <w:rsid w:val="001613D2"/>
    <w:rsid w:val="001620C3"/>
    <w:rsid w:val="001700DA"/>
    <w:rsid w:val="00171ED5"/>
    <w:rsid w:val="00181C29"/>
    <w:rsid w:val="00181D8A"/>
    <w:rsid w:val="0018525A"/>
    <w:rsid w:val="001854EE"/>
    <w:rsid w:val="00195ECF"/>
    <w:rsid w:val="001A32CA"/>
    <w:rsid w:val="001A470E"/>
    <w:rsid w:val="001A4952"/>
    <w:rsid w:val="001A6273"/>
    <w:rsid w:val="001B037B"/>
    <w:rsid w:val="001B087F"/>
    <w:rsid w:val="001B09F5"/>
    <w:rsid w:val="001B2459"/>
    <w:rsid w:val="001B3FCA"/>
    <w:rsid w:val="001B5E81"/>
    <w:rsid w:val="001C08AC"/>
    <w:rsid w:val="001C1B7C"/>
    <w:rsid w:val="001C1C78"/>
    <w:rsid w:val="001C4DA6"/>
    <w:rsid w:val="001C7782"/>
    <w:rsid w:val="001D359B"/>
    <w:rsid w:val="001D3AEB"/>
    <w:rsid w:val="001D7844"/>
    <w:rsid w:val="001E019F"/>
    <w:rsid w:val="001E5F63"/>
    <w:rsid w:val="001F0B2B"/>
    <w:rsid w:val="001F37F6"/>
    <w:rsid w:val="001F4BA4"/>
    <w:rsid w:val="001F6B9D"/>
    <w:rsid w:val="0021663D"/>
    <w:rsid w:val="00217FFB"/>
    <w:rsid w:val="002206CB"/>
    <w:rsid w:val="0022349D"/>
    <w:rsid w:val="00224984"/>
    <w:rsid w:val="00230184"/>
    <w:rsid w:val="00232995"/>
    <w:rsid w:val="00233F65"/>
    <w:rsid w:val="002363AF"/>
    <w:rsid w:val="002413EA"/>
    <w:rsid w:val="00266D3C"/>
    <w:rsid w:val="002759FD"/>
    <w:rsid w:val="00293056"/>
    <w:rsid w:val="00295BC4"/>
    <w:rsid w:val="0029610A"/>
    <w:rsid w:val="002968C4"/>
    <w:rsid w:val="00296FFF"/>
    <w:rsid w:val="002A2CBC"/>
    <w:rsid w:val="002A46A5"/>
    <w:rsid w:val="002B0AC3"/>
    <w:rsid w:val="002B3B0B"/>
    <w:rsid w:val="002C0B62"/>
    <w:rsid w:val="002C0F56"/>
    <w:rsid w:val="002C2204"/>
    <w:rsid w:val="002C36BF"/>
    <w:rsid w:val="002C40BB"/>
    <w:rsid w:val="002C543B"/>
    <w:rsid w:val="002D1471"/>
    <w:rsid w:val="002E1C26"/>
    <w:rsid w:val="002E1E4B"/>
    <w:rsid w:val="002E5264"/>
    <w:rsid w:val="002F2362"/>
    <w:rsid w:val="00300F79"/>
    <w:rsid w:val="003057FE"/>
    <w:rsid w:val="00305C97"/>
    <w:rsid w:val="00310D90"/>
    <w:rsid w:val="00316750"/>
    <w:rsid w:val="00316E33"/>
    <w:rsid w:val="00317FED"/>
    <w:rsid w:val="00334013"/>
    <w:rsid w:val="0034498D"/>
    <w:rsid w:val="00350386"/>
    <w:rsid w:val="00350CC5"/>
    <w:rsid w:val="003525CF"/>
    <w:rsid w:val="0035797A"/>
    <w:rsid w:val="003602CB"/>
    <w:rsid w:val="00364886"/>
    <w:rsid w:val="00365C06"/>
    <w:rsid w:val="00365DBF"/>
    <w:rsid w:val="0037416C"/>
    <w:rsid w:val="0037682A"/>
    <w:rsid w:val="003862E5"/>
    <w:rsid w:val="00386B51"/>
    <w:rsid w:val="00394B67"/>
    <w:rsid w:val="00396420"/>
    <w:rsid w:val="00396CE4"/>
    <w:rsid w:val="0039793E"/>
    <w:rsid w:val="003A1016"/>
    <w:rsid w:val="003A435D"/>
    <w:rsid w:val="003A63E3"/>
    <w:rsid w:val="003B0A1E"/>
    <w:rsid w:val="003B10A9"/>
    <w:rsid w:val="003B7B9C"/>
    <w:rsid w:val="003B7C59"/>
    <w:rsid w:val="003C22B3"/>
    <w:rsid w:val="003C3F32"/>
    <w:rsid w:val="003C70E4"/>
    <w:rsid w:val="003C7F36"/>
    <w:rsid w:val="003D4FF9"/>
    <w:rsid w:val="003E0FF4"/>
    <w:rsid w:val="003E2392"/>
    <w:rsid w:val="003E344F"/>
    <w:rsid w:val="003E3E7C"/>
    <w:rsid w:val="003E5D81"/>
    <w:rsid w:val="003E5F19"/>
    <w:rsid w:val="003E6823"/>
    <w:rsid w:val="003F76BB"/>
    <w:rsid w:val="00404350"/>
    <w:rsid w:val="0041029E"/>
    <w:rsid w:val="00411CF6"/>
    <w:rsid w:val="004155AB"/>
    <w:rsid w:val="004157A4"/>
    <w:rsid w:val="00416CEF"/>
    <w:rsid w:val="004217C0"/>
    <w:rsid w:val="00426ABF"/>
    <w:rsid w:val="0043424C"/>
    <w:rsid w:val="00434793"/>
    <w:rsid w:val="00446431"/>
    <w:rsid w:val="00446789"/>
    <w:rsid w:val="0045156E"/>
    <w:rsid w:val="004552CE"/>
    <w:rsid w:val="00460EB2"/>
    <w:rsid w:val="00461C2F"/>
    <w:rsid w:val="0046297A"/>
    <w:rsid w:val="004649EF"/>
    <w:rsid w:val="004658E5"/>
    <w:rsid w:val="004662E8"/>
    <w:rsid w:val="004761E3"/>
    <w:rsid w:val="00480652"/>
    <w:rsid w:val="004824B3"/>
    <w:rsid w:val="004831F4"/>
    <w:rsid w:val="0048372A"/>
    <w:rsid w:val="00484C8D"/>
    <w:rsid w:val="0049356E"/>
    <w:rsid w:val="00493D66"/>
    <w:rsid w:val="004B1FD8"/>
    <w:rsid w:val="004B56D2"/>
    <w:rsid w:val="004B7DC0"/>
    <w:rsid w:val="004C072B"/>
    <w:rsid w:val="004D1B76"/>
    <w:rsid w:val="004D2B33"/>
    <w:rsid w:val="004D3213"/>
    <w:rsid w:val="004D3255"/>
    <w:rsid w:val="004D771F"/>
    <w:rsid w:val="004D788A"/>
    <w:rsid w:val="004F2CF2"/>
    <w:rsid w:val="004F6D79"/>
    <w:rsid w:val="00501423"/>
    <w:rsid w:val="00505926"/>
    <w:rsid w:val="0050671D"/>
    <w:rsid w:val="00510977"/>
    <w:rsid w:val="00515F88"/>
    <w:rsid w:val="00532483"/>
    <w:rsid w:val="005327E0"/>
    <w:rsid w:val="005347B2"/>
    <w:rsid w:val="005375F8"/>
    <w:rsid w:val="0053791D"/>
    <w:rsid w:val="00542820"/>
    <w:rsid w:val="0054726A"/>
    <w:rsid w:val="0055092A"/>
    <w:rsid w:val="00555DBF"/>
    <w:rsid w:val="005561FC"/>
    <w:rsid w:val="005602AE"/>
    <w:rsid w:val="00560F9C"/>
    <w:rsid w:val="00567E9E"/>
    <w:rsid w:val="00572984"/>
    <w:rsid w:val="00572F2E"/>
    <w:rsid w:val="00574251"/>
    <w:rsid w:val="00576A8B"/>
    <w:rsid w:val="00577FFC"/>
    <w:rsid w:val="005849DD"/>
    <w:rsid w:val="005A19C5"/>
    <w:rsid w:val="005A63C8"/>
    <w:rsid w:val="005A68C0"/>
    <w:rsid w:val="005B45EE"/>
    <w:rsid w:val="005B48DB"/>
    <w:rsid w:val="005B58BD"/>
    <w:rsid w:val="005B6CD4"/>
    <w:rsid w:val="005E0DE4"/>
    <w:rsid w:val="005E1B00"/>
    <w:rsid w:val="005E33BF"/>
    <w:rsid w:val="005E3AEE"/>
    <w:rsid w:val="005E68FC"/>
    <w:rsid w:val="005E730F"/>
    <w:rsid w:val="005F03D4"/>
    <w:rsid w:val="005F3125"/>
    <w:rsid w:val="005F3491"/>
    <w:rsid w:val="005F4F7A"/>
    <w:rsid w:val="0060024B"/>
    <w:rsid w:val="00601A40"/>
    <w:rsid w:val="006029C7"/>
    <w:rsid w:val="00615568"/>
    <w:rsid w:val="00624F33"/>
    <w:rsid w:val="006338B7"/>
    <w:rsid w:val="006345B3"/>
    <w:rsid w:val="00635277"/>
    <w:rsid w:val="00636F84"/>
    <w:rsid w:val="0063720E"/>
    <w:rsid w:val="00644F71"/>
    <w:rsid w:val="006529F2"/>
    <w:rsid w:val="00655D80"/>
    <w:rsid w:val="00657BBE"/>
    <w:rsid w:val="00660CD2"/>
    <w:rsid w:val="00660FCC"/>
    <w:rsid w:val="0066256E"/>
    <w:rsid w:val="0066299E"/>
    <w:rsid w:val="00663532"/>
    <w:rsid w:val="00663BC9"/>
    <w:rsid w:val="0066526C"/>
    <w:rsid w:val="0066534A"/>
    <w:rsid w:val="006732D8"/>
    <w:rsid w:val="0067391E"/>
    <w:rsid w:val="0068266E"/>
    <w:rsid w:val="00682C1A"/>
    <w:rsid w:val="00687CEA"/>
    <w:rsid w:val="006907AE"/>
    <w:rsid w:val="00690D78"/>
    <w:rsid w:val="006935F1"/>
    <w:rsid w:val="006A183A"/>
    <w:rsid w:val="006A44D0"/>
    <w:rsid w:val="006B101D"/>
    <w:rsid w:val="006C0526"/>
    <w:rsid w:val="006C6E58"/>
    <w:rsid w:val="006D1DA3"/>
    <w:rsid w:val="006D1E52"/>
    <w:rsid w:val="006D5FD7"/>
    <w:rsid w:val="006D64DF"/>
    <w:rsid w:val="006D66BF"/>
    <w:rsid w:val="006D69D6"/>
    <w:rsid w:val="006D7F24"/>
    <w:rsid w:val="006E58D8"/>
    <w:rsid w:val="006E7CE7"/>
    <w:rsid w:val="006F4C5A"/>
    <w:rsid w:val="007050CC"/>
    <w:rsid w:val="00707CBE"/>
    <w:rsid w:val="0071237C"/>
    <w:rsid w:val="00721CA6"/>
    <w:rsid w:val="007308D9"/>
    <w:rsid w:val="0073093F"/>
    <w:rsid w:val="007337C5"/>
    <w:rsid w:val="00733888"/>
    <w:rsid w:val="007441F8"/>
    <w:rsid w:val="007500E3"/>
    <w:rsid w:val="0075017F"/>
    <w:rsid w:val="00751689"/>
    <w:rsid w:val="007544E0"/>
    <w:rsid w:val="00754822"/>
    <w:rsid w:val="007626EE"/>
    <w:rsid w:val="00763B3C"/>
    <w:rsid w:val="00765DFE"/>
    <w:rsid w:val="00767F43"/>
    <w:rsid w:val="00771AA7"/>
    <w:rsid w:val="00773D0D"/>
    <w:rsid w:val="007817B4"/>
    <w:rsid w:val="00783799"/>
    <w:rsid w:val="00783EC3"/>
    <w:rsid w:val="00785435"/>
    <w:rsid w:val="007870FA"/>
    <w:rsid w:val="00787A20"/>
    <w:rsid w:val="00791068"/>
    <w:rsid w:val="0079257B"/>
    <w:rsid w:val="00792B24"/>
    <w:rsid w:val="00792B27"/>
    <w:rsid w:val="00792C22"/>
    <w:rsid w:val="00793D18"/>
    <w:rsid w:val="00794105"/>
    <w:rsid w:val="00794DFF"/>
    <w:rsid w:val="00796679"/>
    <w:rsid w:val="007A04E1"/>
    <w:rsid w:val="007A08B1"/>
    <w:rsid w:val="007A45F5"/>
    <w:rsid w:val="007A5F3C"/>
    <w:rsid w:val="007C2D56"/>
    <w:rsid w:val="007C3858"/>
    <w:rsid w:val="007C5652"/>
    <w:rsid w:val="007C683E"/>
    <w:rsid w:val="007C6B7A"/>
    <w:rsid w:val="007D5489"/>
    <w:rsid w:val="007D7010"/>
    <w:rsid w:val="007D7D7C"/>
    <w:rsid w:val="007E3461"/>
    <w:rsid w:val="007E4857"/>
    <w:rsid w:val="007E6AD5"/>
    <w:rsid w:val="007F0325"/>
    <w:rsid w:val="00800640"/>
    <w:rsid w:val="008020D2"/>
    <w:rsid w:val="00804439"/>
    <w:rsid w:val="00806020"/>
    <w:rsid w:val="00810D15"/>
    <w:rsid w:val="0081548D"/>
    <w:rsid w:val="008210BC"/>
    <w:rsid w:val="00823807"/>
    <w:rsid w:val="00831DD2"/>
    <w:rsid w:val="00831EBD"/>
    <w:rsid w:val="00832721"/>
    <w:rsid w:val="00835DF9"/>
    <w:rsid w:val="008418E0"/>
    <w:rsid w:val="0084463E"/>
    <w:rsid w:val="00845C43"/>
    <w:rsid w:val="00847A0F"/>
    <w:rsid w:val="008531A0"/>
    <w:rsid w:val="00861A84"/>
    <w:rsid w:val="00862308"/>
    <w:rsid w:val="00862B90"/>
    <w:rsid w:val="00862E72"/>
    <w:rsid w:val="00871605"/>
    <w:rsid w:val="00875A1D"/>
    <w:rsid w:val="008834A3"/>
    <w:rsid w:val="00884504"/>
    <w:rsid w:val="00886267"/>
    <w:rsid w:val="00891677"/>
    <w:rsid w:val="008A03FC"/>
    <w:rsid w:val="008B47A0"/>
    <w:rsid w:val="008B6931"/>
    <w:rsid w:val="008C345D"/>
    <w:rsid w:val="008C3B2B"/>
    <w:rsid w:val="008D0951"/>
    <w:rsid w:val="008D21D4"/>
    <w:rsid w:val="008D2C4D"/>
    <w:rsid w:val="008D4AEF"/>
    <w:rsid w:val="008E060A"/>
    <w:rsid w:val="008E63F3"/>
    <w:rsid w:val="008E769A"/>
    <w:rsid w:val="008F070C"/>
    <w:rsid w:val="008F326D"/>
    <w:rsid w:val="008F4441"/>
    <w:rsid w:val="009050B8"/>
    <w:rsid w:val="00907D3D"/>
    <w:rsid w:val="00915D9F"/>
    <w:rsid w:val="0091798E"/>
    <w:rsid w:val="009213D5"/>
    <w:rsid w:val="00921E26"/>
    <w:rsid w:val="00925555"/>
    <w:rsid w:val="00925B07"/>
    <w:rsid w:val="009266E7"/>
    <w:rsid w:val="009279F8"/>
    <w:rsid w:val="00931F21"/>
    <w:rsid w:val="009345E9"/>
    <w:rsid w:val="00935F12"/>
    <w:rsid w:val="00937F11"/>
    <w:rsid w:val="00946E5E"/>
    <w:rsid w:val="00953551"/>
    <w:rsid w:val="009544BB"/>
    <w:rsid w:val="00962ECA"/>
    <w:rsid w:val="00967D1D"/>
    <w:rsid w:val="00971C63"/>
    <w:rsid w:val="00974709"/>
    <w:rsid w:val="0098696C"/>
    <w:rsid w:val="009927FE"/>
    <w:rsid w:val="00994803"/>
    <w:rsid w:val="00996CF9"/>
    <w:rsid w:val="009A72D9"/>
    <w:rsid w:val="009B6F09"/>
    <w:rsid w:val="009B79B9"/>
    <w:rsid w:val="009C0BA4"/>
    <w:rsid w:val="009C254E"/>
    <w:rsid w:val="009C46D4"/>
    <w:rsid w:val="009D30A0"/>
    <w:rsid w:val="009D3504"/>
    <w:rsid w:val="009D4691"/>
    <w:rsid w:val="009D6100"/>
    <w:rsid w:val="009D7D3E"/>
    <w:rsid w:val="009E27FD"/>
    <w:rsid w:val="009E4357"/>
    <w:rsid w:val="009E4BA6"/>
    <w:rsid w:val="009E56DB"/>
    <w:rsid w:val="009E5C74"/>
    <w:rsid w:val="009E730A"/>
    <w:rsid w:val="009F0169"/>
    <w:rsid w:val="009F37EA"/>
    <w:rsid w:val="009F5413"/>
    <w:rsid w:val="009F5867"/>
    <w:rsid w:val="009F5A48"/>
    <w:rsid w:val="009F5BD4"/>
    <w:rsid w:val="009F78A4"/>
    <w:rsid w:val="00A05C3E"/>
    <w:rsid w:val="00A0654C"/>
    <w:rsid w:val="00A14F29"/>
    <w:rsid w:val="00A1672A"/>
    <w:rsid w:val="00A1758B"/>
    <w:rsid w:val="00A228CE"/>
    <w:rsid w:val="00A23620"/>
    <w:rsid w:val="00A27F20"/>
    <w:rsid w:val="00A30150"/>
    <w:rsid w:val="00A30A13"/>
    <w:rsid w:val="00A33CD7"/>
    <w:rsid w:val="00A34FFA"/>
    <w:rsid w:val="00A36AC2"/>
    <w:rsid w:val="00A3720C"/>
    <w:rsid w:val="00A61F72"/>
    <w:rsid w:val="00A63CB8"/>
    <w:rsid w:val="00A70EE8"/>
    <w:rsid w:val="00A72663"/>
    <w:rsid w:val="00A7395D"/>
    <w:rsid w:val="00A73A2F"/>
    <w:rsid w:val="00A81BCF"/>
    <w:rsid w:val="00A81DBE"/>
    <w:rsid w:val="00A83B87"/>
    <w:rsid w:val="00A859F4"/>
    <w:rsid w:val="00A85CD4"/>
    <w:rsid w:val="00A863BE"/>
    <w:rsid w:val="00A917F3"/>
    <w:rsid w:val="00A91F4B"/>
    <w:rsid w:val="00A92CB6"/>
    <w:rsid w:val="00A9336F"/>
    <w:rsid w:val="00A97718"/>
    <w:rsid w:val="00AA0A9E"/>
    <w:rsid w:val="00AA1BBA"/>
    <w:rsid w:val="00AA7153"/>
    <w:rsid w:val="00AB187F"/>
    <w:rsid w:val="00AB46FD"/>
    <w:rsid w:val="00AC1A63"/>
    <w:rsid w:val="00AC2E67"/>
    <w:rsid w:val="00AC6FE2"/>
    <w:rsid w:val="00AD1F99"/>
    <w:rsid w:val="00AE2B40"/>
    <w:rsid w:val="00AE3CCC"/>
    <w:rsid w:val="00AE46CF"/>
    <w:rsid w:val="00AF632A"/>
    <w:rsid w:val="00AF7802"/>
    <w:rsid w:val="00B018C2"/>
    <w:rsid w:val="00B02153"/>
    <w:rsid w:val="00B04B64"/>
    <w:rsid w:val="00B06D17"/>
    <w:rsid w:val="00B1537E"/>
    <w:rsid w:val="00B218B9"/>
    <w:rsid w:val="00B237B1"/>
    <w:rsid w:val="00B26ADC"/>
    <w:rsid w:val="00B279B2"/>
    <w:rsid w:val="00B27E4A"/>
    <w:rsid w:val="00B32132"/>
    <w:rsid w:val="00B33FAF"/>
    <w:rsid w:val="00B34543"/>
    <w:rsid w:val="00B35DFB"/>
    <w:rsid w:val="00B36E28"/>
    <w:rsid w:val="00B403CA"/>
    <w:rsid w:val="00B4081E"/>
    <w:rsid w:val="00B43410"/>
    <w:rsid w:val="00B45474"/>
    <w:rsid w:val="00B53306"/>
    <w:rsid w:val="00B53FA0"/>
    <w:rsid w:val="00B55690"/>
    <w:rsid w:val="00B6017D"/>
    <w:rsid w:val="00B63390"/>
    <w:rsid w:val="00B654DE"/>
    <w:rsid w:val="00B65530"/>
    <w:rsid w:val="00B72DAB"/>
    <w:rsid w:val="00B76220"/>
    <w:rsid w:val="00B80206"/>
    <w:rsid w:val="00B80CBC"/>
    <w:rsid w:val="00B811B1"/>
    <w:rsid w:val="00B81A9C"/>
    <w:rsid w:val="00B92685"/>
    <w:rsid w:val="00B96832"/>
    <w:rsid w:val="00BA2331"/>
    <w:rsid w:val="00BA2C24"/>
    <w:rsid w:val="00BA774D"/>
    <w:rsid w:val="00BB0A96"/>
    <w:rsid w:val="00BB218E"/>
    <w:rsid w:val="00BB461C"/>
    <w:rsid w:val="00BC61A3"/>
    <w:rsid w:val="00BC7068"/>
    <w:rsid w:val="00BC7209"/>
    <w:rsid w:val="00BD31F4"/>
    <w:rsid w:val="00BD5BAB"/>
    <w:rsid w:val="00BD5CE8"/>
    <w:rsid w:val="00BE0B03"/>
    <w:rsid w:val="00BE71B6"/>
    <w:rsid w:val="00C05E88"/>
    <w:rsid w:val="00C15CBE"/>
    <w:rsid w:val="00C212EA"/>
    <w:rsid w:val="00C2355A"/>
    <w:rsid w:val="00C2637E"/>
    <w:rsid w:val="00C276F7"/>
    <w:rsid w:val="00C3092F"/>
    <w:rsid w:val="00C312AB"/>
    <w:rsid w:val="00C32C85"/>
    <w:rsid w:val="00C3378E"/>
    <w:rsid w:val="00C433FC"/>
    <w:rsid w:val="00C4411B"/>
    <w:rsid w:val="00C4487F"/>
    <w:rsid w:val="00C462C5"/>
    <w:rsid w:val="00C540B9"/>
    <w:rsid w:val="00C6450D"/>
    <w:rsid w:val="00C662DD"/>
    <w:rsid w:val="00C70B3E"/>
    <w:rsid w:val="00C70DAE"/>
    <w:rsid w:val="00C70E09"/>
    <w:rsid w:val="00C70FD9"/>
    <w:rsid w:val="00C712FF"/>
    <w:rsid w:val="00C72294"/>
    <w:rsid w:val="00C7449F"/>
    <w:rsid w:val="00C74A6B"/>
    <w:rsid w:val="00C84F34"/>
    <w:rsid w:val="00C9088D"/>
    <w:rsid w:val="00C93E10"/>
    <w:rsid w:val="00CA3F5F"/>
    <w:rsid w:val="00CA57D1"/>
    <w:rsid w:val="00CA65EC"/>
    <w:rsid w:val="00CB026A"/>
    <w:rsid w:val="00CB4F17"/>
    <w:rsid w:val="00CB696E"/>
    <w:rsid w:val="00CC0A78"/>
    <w:rsid w:val="00CC0C51"/>
    <w:rsid w:val="00CC1763"/>
    <w:rsid w:val="00CC6FAD"/>
    <w:rsid w:val="00CD699A"/>
    <w:rsid w:val="00CE6244"/>
    <w:rsid w:val="00CF04EC"/>
    <w:rsid w:val="00CF571E"/>
    <w:rsid w:val="00CF6009"/>
    <w:rsid w:val="00CF7040"/>
    <w:rsid w:val="00D00843"/>
    <w:rsid w:val="00D010A3"/>
    <w:rsid w:val="00D04F55"/>
    <w:rsid w:val="00D15DFC"/>
    <w:rsid w:val="00D17005"/>
    <w:rsid w:val="00D201F9"/>
    <w:rsid w:val="00D22C4E"/>
    <w:rsid w:val="00D23BB0"/>
    <w:rsid w:val="00D25ECF"/>
    <w:rsid w:val="00D26DF4"/>
    <w:rsid w:val="00D31854"/>
    <w:rsid w:val="00D31F7B"/>
    <w:rsid w:val="00D343F5"/>
    <w:rsid w:val="00D36DF7"/>
    <w:rsid w:val="00D40E79"/>
    <w:rsid w:val="00D476BC"/>
    <w:rsid w:val="00D5000C"/>
    <w:rsid w:val="00D562FA"/>
    <w:rsid w:val="00D5649E"/>
    <w:rsid w:val="00D61098"/>
    <w:rsid w:val="00D662E7"/>
    <w:rsid w:val="00D6764E"/>
    <w:rsid w:val="00D75549"/>
    <w:rsid w:val="00D75E14"/>
    <w:rsid w:val="00D8630A"/>
    <w:rsid w:val="00D90FAA"/>
    <w:rsid w:val="00D92B3C"/>
    <w:rsid w:val="00DA21EE"/>
    <w:rsid w:val="00DA3B3C"/>
    <w:rsid w:val="00DA68D5"/>
    <w:rsid w:val="00DB6E7B"/>
    <w:rsid w:val="00DC3B9A"/>
    <w:rsid w:val="00DC7EF5"/>
    <w:rsid w:val="00DD62DE"/>
    <w:rsid w:val="00DE062E"/>
    <w:rsid w:val="00DF20B1"/>
    <w:rsid w:val="00DF43A6"/>
    <w:rsid w:val="00DF4600"/>
    <w:rsid w:val="00DF6F42"/>
    <w:rsid w:val="00E07375"/>
    <w:rsid w:val="00E07749"/>
    <w:rsid w:val="00E11BBE"/>
    <w:rsid w:val="00E20F80"/>
    <w:rsid w:val="00E220D9"/>
    <w:rsid w:val="00E22847"/>
    <w:rsid w:val="00E24576"/>
    <w:rsid w:val="00E44341"/>
    <w:rsid w:val="00E447F7"/>
    <w:rsid w:val="00E47187"/>
    <w:rsid w:val="00E47311"/>
    <w:rsid w:val="00E52CAC"/>
    <w:rsid w:val="00E53D01"/>
    <w:rsid w:val="00E556B6"/>
    <w:rsid w:val="00E5579B"/>
    <w:rsid w:val="00E578EE"/>
    <w:rsid w:val="00E614A0"/>
    <w:rsid w:val="00E62C9E"/>
    <w:rsid w:val="00E701D7"/>
    <w:rsid w:val="00E769CE"/>
    <w:rsid w:val="00E85996"/>
    <w:rsid w:val="00E866B7"/>
    <w:rsid w:val="00E94C11"/>
    <w:rsid w:val="00E9539B"/>
    <w:rsid w:val="00E97EC2"/>
    <w:rsid w:val="00EA010D"/>
    <w:rsid w:val="00EA37AC"/>
    <w:rsid w:val="00EA5687"/>
    <w:rsid w:val="00EA59B1"/>
    <w:rsid w:val="00EA5D5F"/>
    <w:rsid w:val="00EA68EE"/>
    <w:rsid w:val="00EB15F4"/>
    <w:rsid w:val="00EC0AAF"/>
    <w:rsid w:val="00EC135C"/>
    <w:rsid w:val="00EC31B6"/>
    <w:rsid w:val="00EC61A7"/>
    <w:rsid w:val="00EC64D4"/>
    <w:rsid w:val="00EC7C66"/>
    <w:rsid w:val="00EE0FF5"/>
    <w:rsid w:val="00EE3BDA"/>
    <w:rsid w:val="00EE401A"/>
    <w:rsid w:val="00EE5E1F"/>
    <w:rsid w:val="00EF1CC5"/>
    <w:rsid w:val="00EF33A8"/>
    <w:rsid w:val="00EF3596"/>
    <w:rsid w:val="00EF4AEE"/>
    <w:rsid w:val="00EF4DA4"/>
    <w:rsid w:val="00EF718F"/>
    <w:rsid w:val="00F01B8F"/>
    <w:rsid w:val="00F05E09"/>
    <w:rsid w:val="00F07F4B"/>
    <w:rsid w:val="00F10138"/>
    <w:rsid w:val="00F12209"/>
    <w:rsid w:val="00F15A3B"/>
    <w:rsid w:val="00F1671E"/>
    <w:rsid w:val="00F20112"/>
    <w:rsid w:val="00F252E9"/>
    <w:rsid w:val="00F3745C"/>
    <w:rsid w:val="00F37EB2"/>
    <w:rsid w:val="00F37F6A"/>
    <w:rsid w:val="00F405B7"/>
    <w:rsid w:val="00F409B1"/>
    <w:rsid w:val="00F40A94"/>
    <w:rsid w:val="00F40AB4"/>
    <w:rsid w:val="00F42776"/>
    <w:rsid w:val="00F4737B"/>
    <w:rsid w:val="00F47F50"/>
    <w:rsid w:val="00F51704"/>
    <w:rsid w:val="00F5474D"/>
    <w:rsid w:val="00F54F9C"/>
    <w:rsid w:val="00F57C8A"/>
    <w:rsid w:val="00F659C7"/>
    <w:rsid w:val="00F70DA4"/>
    <w:rsid w:val="00F71DF6"/>
    <w:rsid w:val="00F74F58"/>
    <w:rsid w:val="00F750BE"/>
    <w:rsid w:val="00F77823"/>
    <w:rsid w:val="00F82995"/>
    <w:rsid w:val="00F860D4"/>
    <w:rsid w:val="00F9028C"/>
    <w:rsid w:val="00F91CCE"/>
    <w:rsid w:val="00F9235D"/>
    <w:rsid w:val="00F96D73"/>
    <w:rsid w:val="00F96E84"/>
    <w:rsid w:val="00F9739B"/>
    <w:rsid w:val="00FA7193"/>
    <w:rsid w:val="00FA7B4B"/>
    <w:rsid w:val="00FB3048"/>
    <w:rsid w:val="00FB5BE9"/>
    <w:rsid w:val="00FB656D"/>
    <w:rsid w:val="00FB6E23"/>
    <w:rsid w:val="00FB7EC7"/>
    <w:rsid w:val="00FC0692"/>
    <w:rsid w:val="00FC5A9D"/>
    <w:rsid w:val="00FD2ED4"/>
    <w:rsid w:val="00FD320D"/>
    <w:rsid w:val="00FD3F40"/>
    <w:rsid w:val="00FD67E6"/>
    <w:rsid w:val="00FE0A64"/>
    <w:rsid w:val="01062F7F"/>
    <w:rsid w:val="01276EE8"/>
    <w:rsid w:val="016043AA"/>
    <w:rsid w:val="01CC65FD"/>
    <w:rsid w:val="02600504"/>
    <w:rsid w:val="027A76EE"/>
    <w:rsid w:val="039447DF"/>
    <w:rsid w:val="04F65062"/>
    <w:rsid w:val="06606BFB"/>
    <w:rsid w:val="07C724C4"/>
    <w:rsid w:val="080A1514"/>
    <w:rsid w:val="09463857"/>
    <w:rsid w:val="0BCD7620"/>
    <w:rsid w:val="0D133A1F"/>
    <w:rsid w:val="0DA254D8"/>
    <w:rsid w:val="0E4F332A"/>
    <w:rsid w:val="0FBE0066"/>
    <w:rsid w:val="10B65D95"/>
    <w:rsid w:val="111C252A"/>
    <w:rsid w:val="112F5B47"/>
    <w:rsid w:val="12BC5C94"/>
    <w:rsid w:val="12E017EF"/>
    <w:rsid w:val="143040B0"/>
    <w:rsid w:val="165E1976"/>
    <w:rsid w:val="165F0455"/>
    <w:rsid w:val="16D03928"/>
    <w:rsid w:val="171D2EE8"/>
    <w:rsid w:val="17463BEB"/>
    <w:rsid w:val="18D92F68"/>
    <w:rsid w:val="1930537C"/>
    <w:rsid w:val="19E576EB"/>
    <w:rsid w:val="1A497C7A"/>
    <w:rsid w:val="1C2C1B1A"/>
    <w:rsid w:val="1CB40D12"/>
    <w:rsid w:val="1CC17059"/>
    <w:rsid w:val="1D7315FE"/>
    <w:rsid w:val="1F18526B"/>
    <w:rsid w:val="1F4A60B4"/>
    <w:rsid w:val="20A72B06"/>
    <w:rsid w:val="20E66BBC"/>
    <w:rsid w:val="21412C93"/>
    <w:rsid w:val="23097FD3"/>
    <w:rsid w:val="248D2E59"/>
    <w:rsid w:val="25115838"/>
    <w:rsid w:val="275544FE"/>
    <w:rsid w:val="27F87FBF"/>
    <w:rsid w:val="296B7D86"/>
    <w:rsid w:val="2A32072A"/>
    <w:rsid w:val="2ADF3CE2"/>
    <w:rsid w:val="2B267C2C"/>
    <w:rsid w:val="2B2C3A0F"/>
    <w:rsid w:val="2B58324B"/>
    <w:rsid w:val="2D4B38B1"/>
    <w:rsid w:val="2D8F19AF"/>
    <w:rsid w:val="2E073C78"/>
    <w:rsid w:val="2E46039E"/>
    <w:rsid w:val="2E7B1445"/>
    <w:rsid w:val="2EF91EDC"/>
    <w:rsid w:val="2F452CAE"/>
    <w:rsid w:val="2FA35DFD"/>
    <w:rsid w:val="2FF13BF2"/>
    <w:rsid w:val="325274FF"/>
    <w:rsid w:val="32D76AE7"/>
    <w:rsid w:val="333C7DDE"/>
    <w:rsid w:val="34DF75CD"/>
    <w:rsid w:val="34F21A21"/>
    <w:rsid w:val="353A4937"/>
    <w:rsid w:val="35D703D8"/>
    <w:rsid w:val="376037DD"/>
    <w:rsid w:val="37A91900"/>
    <w:rsid w:val="3AC86FBB"/>
    <w:rsid w:val="3B114DF7"/>
    <w:rsid w:val="3D436353"/>
    <w:rsid w:val="3DC244F3"/>
    <w:rsid w:val="3DD376D7"/>
    <w:rsid w:val="3E5C7AFE"/>
    <w:rsid w:val="3ED9165E"/>
    <w:rsid w:val="3F285800"/>
    <w:rsid w:val="40354679"/>
    <w:rsid w:val="40D8162D"/>
    <w:rsid w:val="413B1790"/>
    <w:rsid w:val="42482694"/>
    <w:rsid w:val="426D3347"/>
    <w:rsid w:val="44945DD7"/>
    <w:rsid w:val="45007DE5"/>
    <w:rsid w:val="45A2455E"/>
    <w:rsid w:val="476B6BD2"/>
    <w:rsid w:val="47E36CF9"/>
    <w:rsid w:val="48186781"/>
    <w:rsid w:val="49AF0FF8"/>
    <w:rsid w:val="4D0C050F"/>
    <w:rsid w:val="4D422183"/>
    <w:rsid w:val="4D460FB1"/>
    <w:rsid w:val="4F7E64C7"/>
    <w:rsid w:val="51930FD3"/>
    <w:rsid w:val="5229020B"/>
    <w:rsid w:val="52533B17"/>
    <w:rsid w:val="52735E42"/>
    <w:rsid w:val="52950FA7"/>
    <w:rsid w:val="52DD7F62"/>
    <w:rsid w:val="54FE70B6"/>
    <w:rsid w:val="56011B60"/>
    <w:rsid w:val="564231F4"/>
    <w:rsid w:val="56554CD5"/>
    <w:rsid w:val="57077AC2"/>
    <w:rsid w:val="583A6878"/>
    <w:rsid w:val="58607F51"/>
    <w:rsid w:val="594159E5"/>
    <w:rsid w:val="59F259C1"/>
    <w:rsid w:val="5D115701"/>
    <w:rsid w:val="5D7B1CC1"/>
    <w:rsid w:val="5D8C4DAE"/>
    <w:rsid w:val="5ED115B9"/>
    <w:rsid w:val="5F8D097E"/>
    <w:rsid w:val="602E60BA"/>
    <w:rsid w:val="610E08A2"/>
    <w:rsid w:val="62B203B6"/>
    <w:rsid w:val="64EF7C62"/>
    <w:rsid w:val="65D6012C"/>
    <w:rsid w:val="6612673F"/>
    <w:rsid w:val="66E924E3"/>
    <w:rsid w:val="674943E2"/>
    <w:rsid w:val="6818595B"/>
    <w:rsid w:val="68B630D0"/>
    <w:rsid w:val="68CF4340"/>
    <w:rsid w:val="68DC4DE2"/>
    <w:rsid w:val="69CC12FA"/>
    <w:rsid w:val="69CE6E20"/>
    <w:rsid w:val="6BBD5ED0"/>
    <w:rsid w:val="6BBF6898"/>
    <w:rsid w:val="6BDA7CFF"/>
    <w:rsid w:val="6D0019E7"/>
    <w:rsid w:val="6E8842D7"/>
    <w:rsid w:val="6E9D553D"/>
    <w:rsid w:val="6F5C0A2B"/>
    <w:rsid w:val="709C468C"/>
    <w:rsid w:val="715A6CDB"/>
    <w:rsid w:val="726A07D9"/>
    <w:rsid w:val="728C7879"/>
    <w:rsid w:val="72DF209E"/>
    <w:rsid w:val="731A1328"/>
    <w:rsid w:val="734300DC"/>
    <w:rsid w:val="73BB0416"/>
    <w:rsid w:val="75241FEA"/>
    <w:rsid w:val="75FF0362"/>
    <w:rsid w:val="76AA32D9"/>
    <w:rsid w:val="77057911"/>
    <w:rsid w:val="77245B9A"/>
    <w:rsid w:val="7969142D"/>
    <w:rsid w:val="79AE38A9"/>
    <w:rsid w:val="7A500CBF"/>
    <w:rsid w:val="7A560AC8"/>
    <w:rsid w:val="7C174657"/>
    <w:rsid w:val="7C7F3FAA"/>
    <w:rsid w:val="7CAB2DCD"/>
    <w:rsid w:val="7D4B14A7"/>
    <w:rsid w:val="7D9577C3"/>
    <w:rsid w:val="7E454AC0"/>
    <w:rsid w:val="7EA85D13"/>
    <w:rsid w:val="7EE66563"/>
    <w:rsid w:val="7F0567CF"/>
    <w:rsid w:val="7F1A3D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Document Map"/>
    <w:basedOn w:val="1"/>
    <w:link w:val="17"/>
    <w:semiHidden/>
    <w:qFormat/>
    <w:uiPriority w:val="0"/>
    <w:pPr>
      <w:shd w:val="clear" w:color="auto" w:fill="000080"/>
    </w:pPr>
  </w:style>
  <w:style w:type="paragraph" w:styleId="4">
    <w:name w:val="Balloon Text"/>
    <w:basedOn w:val="1"/>
    <w:link w:val="15"/>
    <w:semiHidden/>
    <w:unhideWhenUsed/>
    <w:qFormat/>
    <w:uiPriority w:val="0"/>
    <w:rPr>
      <w:sz w:val="18"/>
      <w:szCs w:val="18"/>
    </w:rPr>
  </w:style>
  <w:style w:type="paragraph" w:styleId="5">
    <w:name w:val="footer"/>
    <w:basedOn w:val="1"/>
    <w:link w:val="14"/>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3"/>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0"/>
    <w:rPr>
      <w:b/>
      <w:bCs/>
    </w:rPr>
  </w:style>
  <w:style w:type="character" w:styleId="12">
    <w:name w:val="page number"/>
    <w:basedOn w:val="10"/>
    <w:qFormat/>
    <w:uiPriority w:val="0"/>
  </w:style>
  <w:style w:type="character" w:customStyle="1" w:styleId="13">
    <w:name w:val="页眉 Char"/>
    <w:basedOn w:val="10"/>
    <w:link w:val="6"/>
    <w:qFormat/>
    <w:uiPriority w:val="0"/>
    <w:rPr>
      <w:sz w:val="18"/>
      <w:szCs w:val="18"/>
    </w:rPr>
  </w:style>
  <w:style w:type="character" w:customStyle="1" w:styleId="14">
    <w:name w:val="页脚 Char"/>
    <w:basedOn w:val="10"/>
    <w:link w:val="5"/>
    <w:semiHidden/>
    <w:qFormat/>
    <w:uiPriority w:val="99"/>
    <w:rPr>
      <w:sz w:val="18"/>
      <w:szCs w:val="18"/>
    </w:rPr>
  </w:style>
  <w:style w:type="character" w:customStyle="1" w:styleId="15">
    <w:name w:val="批注框文本 Char"/>
    <w:basedOn w:val="10"/>
    <w:link w:val="4"/>
    <w:semiHidden/>
    <w:qFormat/>
    <w:uiPriority w:val="99"/>
    <w:rPr>
      <w:rFonts w:ascii="Times New Roman" w:hAnsi="Times New Roman" w:eastAsia="宋体" w:cs="Times New Roman"/>
      <w:sz w:val="18"/>
      <w:szCs w:val="18"/>
    </w:rPr>
  </w:style>
  <w:style w:type="paragraph" w:customStyle="1" w:styleId="16">
    <w:name w:val="Char Char Char Char"/>
    <w:basedOn w:val="3"/>
    <w:qFormat/>
    <w:uiPriority w:val="0"/>
    <w:pPr>
      <w:widowControl/>
      <w:ind w:firstLine="454"/>
      <w:jc w:val="left"/>
    </w:pPr>
    <w:rPr>
      <w:rFonts w:ascii="Tahoma" w:hAnsi="Tahoma" w:cs="宋体"/>
      <w:kern w:val="0"/>
      <w:szCs w:val="20"/>
    </w:rPr>
  </w:style>
  <w:style w:type="character" w:customStyle="1" w:styleId="17">
    <w:name w:val="文档结构图 Char"/>
    <w:basedOn w:val="10"/>
    <w:link w:val="3"/>
    <w:semiHidden/>
    <w:qFormat/>
    <w:uiPriority w:val="0"/>
    <w:rPr>
      <w:rFonts w:ascii="Times New Roman" w:hAnsi="Times New Roman" w:eastAsia="宋体" w:cs="Times New Roman"/>
      <w:szCs w:val="24"/>
      <w:shd w:val="clear" w:color="auto" w:fill="000080"/>
    </w:rPr>
  </w:style>
  <w:style w:type="paragraph" w:customStyle="1" w:styleId="18">
    <w:name w:val="Char"/>
    <w:basedOn w:val="1"/>
    <w:qFormat/>
    <w:uiPriority w:val="0"/>
    <w:rPr>
      <w:rFonts w:ascii="Tahoma" w:hAnsi="Tahoma"/>
      <w:sz w:val="24"/>
      <w:szCs w:val="20"/>
    </w:rPr>
  </w:style>
  <w:style w:type="paragraph" w:customStyle="1" w:styleId="19">
    <w:name w:val="p0"/>
    <w:basedOn w:val="1"/>
    <w:qFormat/>
    <w:uiPriority w:val="0"/>
    <w:pPr>
      <w:widowControl/>
    </w:pPr>
    <w:rPr>
      <w:kern w:val="0"/>
      <w:szCs w:val="20"/>
    </w:rPr>
  </w:style>
  <w:style w:type="paragraph" w:styleId="2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9CEC32-E4CD-4573-9E52-CC973A1B830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4054</Words>
  <Characters>5567</Characters>
  <Lines>47</Lines>
  <Paragraphs>13</Paragraphs>
  <TotalTime>10</TotalTime>
  <ScaleCrop>false</ScaleCrop>
  <LinksUpToDate>false</LinksUpToDate>
  <CharactersWithSpaces>5671</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2022-09-27T02:29:00Z</dcterms:created>
  <dc:creator>User</dc:creator>
  <cp:lastModifiedBy>restart丶</cp:lastModifiedBy>
  <dcterms:modified xsi:type="dcterms:W3CDTF">2025-02-27T08:44:02Z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B933374054D946DFAA283D590D74C416</vt:lpwstr>
  </property>
  <property fmtid="{D5CDD505-2E9C-101B-9397-08002B2CF9AE}" pid="4" name="KSOTemplateDocerSaveRecord">
    <vt:lpwstr>eyJoZGlkIjoiMzEwNTM5NzYwMDRjMzkwZTVkZjY2ODkwMGIxNGU0OTUiLCJ1c2VySWQiOiIyMDIxMzQxMDQifQ==</vt:lpwstr>
  </property>
</Properties>
</file>