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spacing w:line="3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20</w:t>
      </w:r>
      <w:r>
        <w:rPr>
          <w:rFonts w:hint="eastAsia" w:ascii="黑体" w:hAnsi="黑体" w:eastAsia="黑体" w:cs="仿宋_GB2312"/>
          <w:sz w:val="32"/>
          <w:szCs w:val="32"/>
        </w:rPr>
        <w:t>21年省级切块商务发展专项资金（第三批）</w:t>
      </w:r>
    </w:p>
    <w:p>
      <w:pPr>
        <w:spacing w:line="3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（推动流通业现代化和促进消费）</w:t>
      </w:r>
    </w:p>
    <w:p>
      <w:pPr>
        <w:spacing w:after="100" w:afterAutospacing="1" w:line="36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仿宋_GB2312"/>
          <w:sz w:val="32"/>
          <w:szCs w:val="32"/>
        </w:rPr>
        <w:t>拟补助企业名单</w:t>
      </w:r>
    </w:p>
    <w:tbl>
      <w:tblPr>
        <w:tblStyle w:val="2"/>
        <w:tblW w:w="8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20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扩大消费类项目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张家港万博经营管理有限公司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张家港高德商业管理有限公司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张家港市商业大厦有限责任公司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张家港保税区金耀咨询服务有限公司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张家港城投商业发展有限公司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张家港市名都百货有限公司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张家港市第一人民商场有限责任公司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张家港市凯丽百货有限公司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张家港万达广场商业管理有限公司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张家港市皇家首座百信超市有限公司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张家港市名都百信超市有限公司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张家港市生广百信超市有限公司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张家港市乐余百信超市有限公司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张家港五月花商业管理有限公司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张家港金港大润发商业有限公司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张家港市保意电器有限公司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张家港大润发商业有限公司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张家港曼巴特购物广场有限公司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乡镇商贸中心项目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张家港中骏商业管理有限公司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电子商务产业示范基地（园区）项目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张家港市海纳电子商务产业园管理有限公司</w:t>
            </w:r>
          </w:p>
        </w:tc>
      </w:tr>
    </w:tbl>
    <w:p>
      <w:pPr>
        <w:spacing w:line="3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371A"/>
    <w:rsid w:val="10213E2D"/>
    <w:rsid w:val="16F2371A"/>
    <w:rsid w:val="1FA06672"/>
    <w:rsid w:val="504D323B"/>
    <w:rsid w:val="63007465"/>
    <w:rsid w:val="78657DF4"/>
    <w:rsid w:val="7CD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2022-06-16T00:57:00Z</dcterms:created>
  <dc:creator>靈</dc:creator>
  <cp:lastModifiedBy>靈</cp:lastModifiedBy>
  <dcterms:modified xsi:type="dcterms:W3CDTF">2022-06-16T00:58:11Z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973ECE3840B3418DA82E0D5CE3F4562B</vt:lpwstr>
  </property>
</Properties>
</file>