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</w:t>
      </w:r>
    </w:p>
    <w:tbl>
      <w:tblPr>
        <w:tblStyle w:val="3"/>
        <w:tblW w:w="90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014"/>
        <w:gridCol w:w="4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03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2021年市级商务发展专项资金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（商贸流通业类、电子商务类）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拟补助企业名单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冷链基础设施建设项目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张家港市凤磐农产品有限公司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苏州菜园子网络科技有限公司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苏州永联天天鲜配送股份有限公司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供应链平台建设项目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江苏澳洋医药物流有限公司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玖隆钢铁物流有限公司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张家港电子口岸有限公司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张家港保税区扬子江物产控股有限公司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江苏物润船联网络股份有限公司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新建及改建社区直营连锁便利店项目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苏州永联天天鲜配送股份有限公司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张家港好邻企业管理有限公司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具有本地特色美食活动项目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张家港市乐余永乐文旅发展有限公司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通过电子商务</w:t>
            </w:r>
            <w:r>
              <w:rPr>
                <w:rStyle w:val="9"/>
                <w:rFonts w:eastAsia="宋体"/>
                <w:lang w:val="en-US" w:eastAsia="zh-CN" w:bidi="ar"/>
              </w:rPr>
              <w:t>B2B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lang w:val="en-US" w:eastAsia="zh-CN" w:bidi="ar"/>
              </w:rPr>
              <w:t>B2C</w:t>
            </w:r>
            <w:r>
              <w:rPr>
                <w:rStyle w:val="8"/>
                <w:lang w:val="en-US" w:eastAsia="zh-CN" w:bidi="ar"/>
              </w:rPr>
              <w:t>模式经营以及开展电子商务平台项目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江苏大聚城网络科技有限公司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江苏聚棉电子商务有限公司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援建地区备案的特色农副产品项目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北纬四十三度（苏州）电子商务有限公司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苏州蔚然农业科技发展有限公司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名店、名师项目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张家港市杨舍镇喜膳园餐厅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张家港华芳新城酒店有限公司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江苏永联小镇度假酒店有限公司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张家港市豪苑大酒店有限公司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张家港市阳光半岛酒店有限公司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25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47B7"/>
    <w:rsid w:val="274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nt51"/>
    <w:basedOn w:val="4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7">
    <w:name w:val="font81"/>
    <w:basedOn w:val="4"/>
    <w:qFormat/>
    <w:uiPriority w:val="0"/>
    <w:rPr>
      <w:rFonts w:hint="eastAsia" w:ascii="等线" w:hAnsi="等线" w:eastAsia="等线" w:cs="等线"/>
      <w:color w:val="333333"/>
      <w:sz w:val="22"/>
      <w:szCs w:val="22"/>
      <w:u w:val="none"/>
    </w:rPr>
  </w:style>
  <w:style w:type="character" w:customStyle="1" w:styleId="8">
    <w:name w:val="font91"/>
    <w:basedOn w:val="4"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2022-11-09T06:55:00Z</dcterms:created>
  <dc:creator>先知百炼生</dc:creator>
  <cp:lastModifiedBy>先知百炼生</cp:lastModifiedBy>
  <dcterms:modified xsi:type="dcterms:W3CDTF">2022-11-09T06:56:16Z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