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宋体" w:hAnsi="宋体" w:eastAsia="宋体" w:cs="宋体"/>
          <w:b/>
          <w:kern w:val="0"/>
          <w:sz w:val="39"/>
          <w:szCs w:val="39"/>
        </w:rPr>
      </w:pPr>
      <w:r>
        <w:rPr>
          <w:rFonts w:ascii="宋体" w:hAnsi="宋体" w:eastAsia="宋体" w:cs="宋体"/>
          <w:b/>
          <w:kern w:val="0"/>
          <w:sz w:val="39"/>
          <w:szCs w:val="39"/>
        </w:rPr>
        <w:t>张家港市</w:t>
      </w:r>
      <w:r>
        <w:rPr>
          <w:rFonts w:hint="eastAsia" w:ascii="宋体" w:hAnsi="宋体" w:eastAsia="宋体" w:cs="宋体"/>
          <w:b/>
          <w:kern w:val="0"/>
          <w:sz w:val="39"/>
          <w:szCs w:val="39"/>
        </w:rPr>
        <w:t>司法</w:t>
      </w:r>
      <w:r>
        <w:rPr>
          <w:rFonts w:ascii="宋体" w:hAnsi="宋体" w:eastAsia="宋体" w:cs="宋体"/>
          <w:b/>
          <w:kern w:val="0"/>
          <w:sz w:val="39"/>
          <w:szCs w:val="39"/>
        </w:rPr>
        <w:t>局2</w:t>
      </w:r>
      <w:r>
        <w:rPr>
          <w:rFonts w:hint="eastAsia" w:ascii="宋体" w:hAnsi="宋体" w:eastAsia="宋体" w:cs="宋体"/>
          <w:b/>
          <w:kern w:val="0"/>
          <w:sz w:val="39"/>
          <w:szCs w:val="39"/>
        </w:rPr>
        <w:t>020</w:t>
      </w:r>
      <w:r>
        <w:rPr>
          <w:rFonts w:ascii="宋体" w:hAnsi="宋体" w:eastAsia="宋体" w:cs="宋体"/>
          <w:b/>
          <w:kern w:val="0"/>
          <w:sz w:val="39"/>
          <w:szCs w:val="39"/>
        </w:rPr>
        <w:t>年政府信息公开工作</w:t>
      </w:r>
    </w:p>
    <w:p>
      <w:pPr>
        <w:widowControl/>
        <w:spacing w:line="520" w:lineRule="exact"/>
        <w:jc w:val="center"/>
        <w:rPr>
          <w:b/>
          <w:sz w:val="39"/>
          <w:szCs w:val="39"/>
        </w:rPr>
      </w:pPr>
      <w:r>
        <w:rPr>
          <w:rFonts w:ascii="宋体" w:hAnsi="宋体" w:eastAsia="宋体" w:cs="宋体"/>
          <w:b/>
          <w:kern w:val="0"/>
          <w:sz w:val="39"/>
          <w:szCs w:val="39"/>
        </w:rPr>
        <w:t>年度报告</w:t>
      </w:r>
    </w:p>
    <w:p>
      <w:pPr>
        <w:pStyle w:val="4"/>
        <w:widowControl/>
        <w:shd w:val="clear" w:color="auto" w:fill="FFFFFF"/>
        <w:spacing w:beforeAutospacing="0" w:afterAutospacing="0" w:line="520" w:lineRule="exact"/>
        <w:ind w:firstLine="640" w:firstLineChars="200"/>
        <w:rPr>
          <w:rFonts w:ascii="仿宋" w:hAnsi="仿宋" w:eastAsia="仿宋" w:cs="仿宋"/>
          <w:sz w:val="32"/>
          <w:szCs w:val="32"/>
          <w:shd w:val="clear" w:color="auto" w:fill="FFFFFF"/>
        </w:rPr>
      </w:pPr>
    </w:p>
    <w:p>
      <w:pPr>
        <w:pStyle w:val="4"/>
        <w:widowControl/>
        <w:shd w:val="clear" w:color="auto" w:fill="FFFFFF"/>
        <w:spacing w:beforeAutospacing="0" w:afterAutospacing="0" w:line="520" w:lineRule="exact"/>
        <w:ind w:firstLine="640"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根据《中华人民共和国政府信息公开条例》、国务院办公厅信息公开办《关于政府信息公开工作年度报告有关事项的通知》、省政府办公厅《关于切实做好政府信息公开工作年度报告和规范政府信息公开平台有关事项的通知》等文件的要求，结合司法行政工作实际，对全年政府信息公开工作情况进行总结报告。本报告主要内容包括总体情况、主动公开政府信息情况、政府信息依申请公开办理情况、因政府信息公开申请行政复议、提起行政诉讼情况、政府信息公开工作存在的主要问题及改进情况、其他需要报告的事项六部分组成。</w:t>
      </w:r>
    </w:p>
    <w:p>
      <w:pPr>
        <w:pStyle w:val="4"/>
        <w:widowControl/>
        <w:shd w:val="clear" w:color="auto" w:fill="FFFFFF"/>
        <w:spacing w:beforeAutospacing="0" w:afterAutospacing="0" w:line="520" w:lineRule="exact"/>
        <w:ind w:firstLine="640" w:firstLineChars="200"/>
        <w:rPr>
          <w:sz w:val="32"/>
          <w:szCs w:val="32"/>
        </w:rPr>
      </w:pPr>
      <w:r>
        <w:rPr>
          <w:rFonts w:ascii="黑体" w:hAnsi="宋体" w:eastAsia="黑体" w:cs="黑体"/>
          <w:kern w:val="2"/>
          <w:sz w:val="32"/>
          <w:szCs w:val="32"/>
        </w:rPr>
        <w:t>一、总体情况</w:t>
      </w:r>
    </w:p>
    <w:p>
      <w:pPr>
        <w:pStyle w:val="4"/>
        <w:widowControl/>
        <w:shd w:val="clear" w:color="auto" w:fill="FFFFFF"/>
        <w:spacing w:beforeAutospacing="0" w:afterAutospacing="0" w:line="520" w:lineRule="exact"/>
        <w:ind w:firstLine="640" w:firstLineChars="200"/>
        <w:rPr>
          <w:rFonts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2020年，市司法局积极贯彻落实《中华人民共和国政府信息公开条例》，根据市委市</w:t>
      </w:r>
      <w:bookmarkStart w:id="0" w:name="_GoBack"/>
      <w:bookmarkEnd w:id="0"/>
      <w:r>
        <w:rPr>
          <w:rFonts w:hint="eastAsia" w:ascii="仿宋_GB2312" w:hAnsi="仿宋" w:eastAsia="仿宋_GB2312" w:cs="仿宋"/>
          <w:color w:val="000000"/>
          <w:sz w:val="32"/>
          <w:szCs w:val="32"/>
          <w:shd w:val="clear" w:color="auto" w:fill="FFFFFF"/>
        </w:rPr>
        <w:t>政府信息公开工作的相关部署和要求，紧密结合司法行政工作实际，拓展公开形式，丰富公开内容，不断推进本系统信息公开工作取得新成效。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是健全机构，加强领导。市司法局高度重视政务公开工作，成立政府信息公开工作领导小组，由局主要领导负总责，分管领导亲自抓、亲自督导，办公室具体负责相关工作，并将政务公开工作纳入本单位重点工作内容。</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是落实责任，强化管理。建立信息发布审查制度，所有公开的信息必须进行保密审查，由分管局领导、主要领导审核批准后，方可对外发布。对不确定是否公开的信息，依照法律、法规和国家有关规定报有关主管部门或者同级保密部门确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是拓宽渠道，及时公开。我局按照上级统一部署，发布最新的权责清单、权力运行流程图、公共服务事项清单。严格落实“双公示”和“双随机、一公开”的工作要求，并及时公开。同时，高度重视网络信息平台建设，对张家港市人民政府网信息公开栏目进行及时维护更新，对不合理的栏目进行调整，并借助政务微博微信及时主动公开相关信息。</w:t>
      </w:r>
    </w:p>
    <w:p>
      <w:pPr>
        <w:spacing w:line="520" w:lineRule="exact"/>
        <w:ind w:firstLine="640" w:firstLineChars="200"/>
        <w:rPr>
          <w:rFonts w:ascii="仿宋_GB2312" w:hAnsi="Calibri" w:eastAsia="仿宋_GB2312" w:cs="Times New Roman"/>
          <w:sz w:val="32"/>
          <w:szCs w:val="32"/>
        </w:rPr>
      </w:pPr>
      <w:r>
        <w:rPr>
          <w:rFonts w:hint="eastAsia" w:ascii="仿宋_GB2312" w:eastAsia="仿宋_GB2312"/>
          <w:sz w:val="32"/>
          <w:szCs w:val="32"/>
        </w:rPr>
        <w:t>2020年，市司法局在张家港市人民政府网信息公开栏目主动公开政务文件48件，发布政务信息36条，发布网上调查1个、政策图解1个，及时更新维护法治政府建设专栏。张家港司法行政微博共发布信息614条，张家港普法微信公众号发布信息近500条。及时答复和解决群众反映的各类问题，全年共受理“12345”投诉咨询9件，均做到按时处理答复。</w:t>
      </w:r>
      <w:r>
        <w:rPr>
          <w:rFonts w:hint="eastAsia" w:ascii="仿宋_GB2312" w:hAnsi="Calibri" w:eastAsia="仿宋_GB2312" w:cs="Times New Roman"/>
          <w:sz w:val="32"/>
          <w:szCs w:val="32"/>
        </w:rPr>
        <w:t>2020年，我局收到1条政府信息公开申请，已按照相关要求在法定时期内进行答复。</w:t>
      </w:r>
    </w:p>
    <w:p>
      <w:pPr>
        <w:spacing w:line="520" w:lineRule="exact"/>
        <w:ind w:firstLine="640" w:firstLineChars="200"/>
        <w:rPr>
          <w:sz w:val="32"/>
          <w:szCs w:val="32"/>
        </w:rPr>
      </w:pPr>
      <w:r>
        <w:rPr>
          <w:rFonts w:hint="eastAsia" w:ascii="黑体" w:hAnsi="宋体" w:eastAsia="黑体" w:cs="黑体"/>
          <w:sz w:val="32"/>
          <w:szCs w:val="32"/>
        </w:rPr>
        <w:t>二、主动公开政府信息情况</w:t>
      </w:r>
    </w:p>
    <w:tbl>
      <w:tblPr>
        <w:tblStyle w:val="5"/>
        <w:tblW w:w="8140" w:type="dxa"/>
        <w:jc w:val="center"/>
        <w:tblLayout w:type="fixed"/>
        <w:tblCellMar>
          <w:top w:w="0" w:type="dxa"/>
          <w:left w:w="0" w:type="dxa"/>
          <w:bottom w:w="0" w:type="dxa"/>
          <w:right w:w="0" w:type="dxa"/>
        </w:tblCellMar>
      </w:tblPr>
      <w:tblGrid>
        <w:gridCol w:w="2650"/>
        <w:gridCol w:w="1896"/>
        <w:gridCol w:w="1713"/>
        <w:gridCol w:w="1881"/>
      </w:tblGrid>
      <w:tr>
        <w:tblPrEx>
          <w:tblCellMar>
            <w:top w:w="0" w:type="dxa"/>
            <w:left w:w="0" w:type="dxa"/>
            <w:bottom w:w="0" w:type="dxa"/>
            <w:right w:w="0" w:type="dxa"/>
          </w:tblCellMar>
        </w:tblPrEx>
        <w:trPr>
          <w:trHeight w:val="397"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信息内容</w:t>
            </w:r>
          </w:p>
        </w:tc>
        <w:tc>
          <w:tcPr>
            <w:tcW w:w="1896"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本年新</w:t>
            </w:r>
            <w:r>
              <w:rPr>
                <w:rFonts w:hint="eastAsia" w:ascii="宋体" w:hAnsi="宋体" w:eastAsia="宋体" w:cs="宋体"/>
                <w:kern w:val="0"/>
                <w:sz w:val="20"/>
                <w:szCs w:val="20"/>
              </w:rPr>
              <w:t>制作数量</w:t>
            </w:r>
          </w:p>
        </w:tc>
        <w:tc>
          <w:tcPr>
            <w:tcW w:w="1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本年新</w:t>
            </w:r>
            <w:r>
              <w:rPr>
                <w:rFonts w:hint="eastAsia"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规章</w:t>
            </w:r>
          </w:p>
        </w:tc>
        <w:tc>
          <w:tcPr>
            <w:tcW w:w="189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1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97" w:hRule="atLeast"/>
          <w:jc w:val="center"/>
        </w:trPr>
        <w:tc>
          <w:tcPr>
            <w:tcW w:w="2650"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规范性文件</w:t>
            </w:r>
          </w:p>
        </w:tc>
        <w:tc>
          <w:tcPr>
            <w:tcW w:w="1896"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3</w:t>
            </w:r>
          </w:p>
        </w:tc>
        <w:tc>
          <w:tcPr>
            <w:tcW w:w="1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3</w:t>
            </w:r>
          </w:p>
        </w:tc>
        <w:tc>
          <w:tcPr>
            <w:tcW w:w="1881"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3</w:t>
            </w:r>
          </w:p>
        </w:tc>
      </w:tr>
      <w:tr>
        <w:tblPrEx>
          <w:tblCellMar>
            <w:top w:w="0" w:type="dxa"/>
            <w:left w:w="0" w:type="dxa"/>
            <w:bottom w:w="0" w:type="dxa"/>
            <w:right w:w="0" w:type="dxa"/>
          </w:tblCellMar>
        </w:tblPrEx>
        <w:trPr>
          <w:trHeight w:val="397"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信息内容</w:t>
            </w:r>
          </w:p>
        </w:tc>
        <w:tc>
          <w:tcPr>
            <w:tcW w:w="1896"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上一年项目数量</w:t>
            </w:r>
          </w:p>
        </w:tc>
        <w:tc>
          <w:tcPr>
            <w:tcW w:w="1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vAlign w:val="center"/>
          </w:tcPr>
          <w:p>
            <w:pPr>
              <w:widowControl/>
              <w:spacing w:line="520" w:lineRule="exact"/>
              <w:jc w:val="center"/>
            </w:pPr>
            <w:r>
              <w:rPr>
                <w:rFonts w:hint="eastAsia" w:ascii="宋体" w:hAnsi="宋体" w:eastAsia="宋体" w:cs="宋体"/>
                <w:kern w:val="0"/>
                <w:sz w:val="20"/>
                <w:szCs w:val="20"/>
              </w:rPr>
              <w:t>行政许可</w:t>
            </w:r>
          </w:p>
        </w:tc>
        <w:tc>
          <w:tcPr>
            <w:tcW w:w="1896" w:type="dxa"/>
            <w:tcBorders>
              <w:top w:val="nil"/>
              <w:left w:val="nil"/>
              <w:bottom w:val="single" w:color="auto" w:sz="8" w:space="0"/>
              <w:right w:val="single" w:color="auto" w:sz="8" w:space="0"/>
            </w:tcBorders>
            <w:shd w:val="clear" w:color="auto" w:fill="auto"/>
            <w:noWrap/>
          </w:tcPr>
          <w:p>
            <w:pPr>
              <w:widowControl/>
              <w:spacing w:line="520" w:lineRule="exact"/>
              <w:jc w:val="center"/>
            </w:pPr>
            <w:r>
              <w:rPr>
                <w:rFonts w:hint="eastAsia" w:ascii="宋体" w:hAnsi="宋体" w:eastAsia="宋体" w:cs="宋体"/>
                <w:sz w:val="20"/>
                <w:szCs w:val="20"/>
              </w:rPr>
              <w:t>2</w:t>
            </w:r>
          </w:p>
        </w:tc>
        <w:tc>
          <w:tcPr>
            <w:tcW w:w="1713"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vAlign w:val="center"/>
          </w:tcPr>
          <w:p>
            <w:pPr>
              <w:widowControl/>
              <w:spacing w:line="520" w:lineRule="exact"/>
              <w:jc w:val="center"/>
            </w:pPr>
            <w:r>
              <w:rPr>
                <w:rFonts w:hint="eastAsia" w:ascii="宋体" w:hAnsi="宋体" w:eastAsia="宋体" w:cs="宋体"/>
                <w:kern w:val="0"/>
                <w:sz w:val="20"/>
                <w:szCs w:val="20"/>
              </w:rPr>
              <w:t>其他对外管理服务事项</w:t>
            </w:r>
          </w:p>
        </w:tc>
        <w:tc>
          <w:tcPr>
            <w:tcW w:w="1896" w:type="dxa"/>
            <w:tcBorders>
              <w:top w:val="nil"/>
              <w:left w:val="nil"/>
              <w:bottom w:val="single" w:color="auto" w:sz="8" w:space="0"/>
              <w:right w:val="single" w:color="auto" w:sz="8" w:space="0"/>
            </w:tcBorders>
            <w:shd w:val="clear" w:color="auto" w:fill="auto"/>
            <w:noWrap/>
          </w:tcPr>
          <w:p>
            <w:pPr>
              <w:widowControl/>
              <w:spacing w:line="520" w:lineRule="exact"/>
              <w:jc w:val="center"/>
            </w:pPr>
            <w:r>
              <w:rPr>
                <w:rFonts w:hint="eastAsia" w:ascii="宋体" w:hAnsi="宋体" w:eastAsia="宋体" w:cs="宋体"/>
                <w:sz w:val="20"/>
                <w:szCs w:val="20"/>
              </w:rPr>
              <w:t>12</w:t>
            </w:r>
          </w:p>
        </w:tc>
        <w:tc>
          <w:tcPr>
            <w:tcW w:w="1713"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397"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第二十条第（六）项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信息内容</w:t>
            </w:r>
          </w:p>
        </w:tc>
        <w:tc>
          <w:tcPr>
            <w:tcW w:w="1896"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上一年项目数量</w:t>
            </w:r>
          </w:p>
        </w:tc>
        <w:tc>
          <w:tcPr>
            <w:tcW w:w="1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处理决定数量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vAlign w:val="center"/>
          </w:tcPr>
          <w:p>
            <w:pPr>
              <w:widowControl/>
              <w:spacing w:line="520" w:lineRule="exact"/>
              <w:jc w:val="center"/>
            </w:pPr>
            <w:r>
              <w:rPr>
                <w:rFonts w:hint="eastAsia" w:ascii="宋体" w:hAnsi="宋体" w:eastAsia="宋体" w:cs="宋体"/>
                <w:kern w:val="0"/>
                <w:sz w:val="20"/>
                <w:szCs w:val="20"/>
              </w:rPr>
              <w:t>行政处罚</w:t>
            </w:r>
          </w:p>
        </w:tc>
        <w:tc>
          <w:tcPr>
            <w:tcW w:w="1896" w:type="dxa"/>
            <w:tcBorders>
              <w:top w:val="nil"/>
              <w:left w:val="nil"/>
              <w:bottom w:val="single" w:color="auto" w:sz="8" w:space="0"/>
              <w:right w:val="single" w:color="auto" w:sz="8" w:space="0"/>
            </w:tcBorders>
            <w:shd w:val="clear" w:color="auto" w:fill="auto"/>
            <w:noWrap/>
          </w:tcPr>
          <w:p>
            <w:pPr>
              <w:widowControl/>
              <w:spacing w:line="520" w:lineRule="exact"/>
              <w:jc w:val="center"/>
            </w:pPr>
            <w:r>
              <w:rPr>
                <w:rFonts w:hint="eastAsia" w:ascii="宋体" w:hAnsi="宋体" w:eastAsia="宋体" w:cs="宋体"/>
                <w:sz w:val="20"/>
                <w:szCs w:val="20"/>
              </w:rPr>
              <w:t>5</w:t>
            </w:r>
          </w:p>
        </w:tc>
        <w:tc>
          <w:tcPr>
            <w:tcW w:w="1713"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vAlign w:val="center"/>
          </w:tcPr>
          <w:p>
            <w:pPr>
              <w:widowControl/>
              <w:spacing w:line="520" w:lineRule="exact"/>
              <w:jc w:val="center"/>
            </w:pPr>
            <w:r>
              <w:rPr>
                <w:rFonts w:hint="eastAsia" w:ascii="宋体" w:hAnsi="宋体" w:eastAsia="宋体" w:cs="宋体"/>
                <w:kern w:val="0"/>
                <w:sz w:val="20"/>
                <w:szCs w:val="20"/>
              </w:rPr>
              <w:t>行政强制</w:t>
            </w:r>
          </w:p>
        </w:tc>
        <w:tc>
          <w:tcPr>
            <w:tcW w:w="1896" w:type="dxa"/>
            <w:tcBorders>
              <w:top w:val="nil"/>
              <w:left w:val="nil"/>
              <w:bottom w:val="single" w:color="auto" w:sz="8" w:space="0"/>
              <w:right w:val="single" w:color="auto" w:sz="8" w:space="0"/>
            </w:tcBorders>
            <w:shd w:val="clear" w:color="auto" w:fill="auto"/>
            <w:noWrap/>
          </w:tcPr>
          <w:p>
            <w:pPr>
              <w:widowControl/>
              <w:spacing w:line="520" w:lineRule="exact"/>
              <w:jc w:val="center"/>
            </w:pPr>
            <w:r>
              <w:rPr>
                <w:rFonts w:hint="eastAsia" w:ascii="宋体" w:hAnsi="宋体" w:eastAsia="宋体" w:cs="宋体"/>
                <w:sz w:val="20"/>
                <w:szCs w:val="20"/>
              </w:rPr>
              <w:t>0</w:t>
            </w:r>
          </w:p>
        </w:tc>
        <w:tc>
          <w:tcPr>
            <w:tcW w:w="1713"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tcPr>
          <w:p>
            <w:pPr>
              <w:widowControl/>
              <w:spacing w:line="520" w:lineRule="exact"/>
              <w:jc w:val="center"/>
            </w:pPr>
            <w:r>
              <w:rPr>
                <w:rFonts w:hint="eastAsia" w:ascii="宋体" w:hAnsi="宋体" w:eastAsia="宋体" w:cs="宋体"/>
                <w:sz w:val="20"/>
                <w:szCs w:val="20"/>
              </w:rPr>
              <w:t>0</w:t>
            </w:r>
          </w:p>
        </w:tc>
      </w:tr>
      <w:tr>
        <w:tblPrEx>
          <w:tblCellMar>
            <w:top w:w="0" w:type="dxa"/>
            <w:left w:w="0" w:type="dxa"/>
            <w:bottom w:w="0" w:type="dxa"/>
            <w:right w:w="0" w:type="dxa"/>
          </w:tblCellMar>
        </w:tblPrEx>
        <w:trPr>
          <w:trHeight w:val="397"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第二十条第（八）项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信息内容</w:t>
            </w:r>
          </w:p>
        </w:tc>
        <w:tc>
          <w:tcPr>
            <w:tcW w:w="189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上一年项目数量</w:t>
            </w:r>
          </w:p>
        </w:tc>
        <w:tc>
          <w:tcPr>
            <w:tcW w:w="3594"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行政事业性收费</w:t>
            </w:r>
          </w:p>
        </w:tc>
        <w:tc>
          <w:tcPr>
            <w:tcW w:w="189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3594"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397"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信息内容</w:t>
            </w:r>
          </w:p>
        </w:tc>
        <w:tc>
          <w:tcPr>
            <w:tcW w:w="189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采购项目数量</w:t>
            </w:r>
          </w:p>
        </w:tc>
        <w:tc>
          <w:tcPr>
            <w:tcW w:w="3594"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397" w:hRule="atLeast"/>
          <w:jc w:val="center"/>
        </w:trPr>
        <w:tc>
          <w:tcPr>
            <w:tcW w:w="2650"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color w:val="000000"/>
                <w:kern w:val="0"/>
                <w:sz w:val="20"/>
                <w:szCs w:val="20"/>
              </w:rPr>
              <w:t>政府集中采购</w:t>
            </w:r>
          </w:p>
        </w:tc>
        <w:tc>
          <w:tcPr>
            <w:tcW w:w="1896" w:type="dxa"/>
            <w:tcBorders>
              <w:top w:val="nil"/>
              <w:left w:val="nil"/>
              <w:bottom w:val="single" w:color="auto" w:sz="8" w:space="0"/>
              <w:right w:val="single" w:color="auto"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3594"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bl>
    <w:p>
      <w:pPr>
        <w:widowControl/>
        <w:spacing w:line="520" w:lineRule="exact"/>
        <w:ind w:firstLine="640" w:firstLineChars="200"/>
        <w:jc w:val="left"/>
        <w:rPr>
          <w:sz w:val="32"/>
          <w:szCs w:val="32"/>
        </w:rPr>
      </w:pPr>
      <w:r>
        <w:rPr>
          <w:rFonts w:hint="eastAsia" w:ascii="黑体" w:hAnsi="宋体" w:eastAsia="黑体" w:cs="黑体"/>
          <w:sz w:val="32"/>
          <w:szCs w:val="32"/>
        </w:rPr>
        <w:t>三、收到和处理政府信息公开申请情况</w:t>
      </w:r>
    </w:p>
    <w:tbl>
      <w:tblPr>
        <w:tblStyle w:val="5"/>
        <w:tblW w:w="9071" w:type="dxa"/>
        <w:jc w:val="center"/>
        <w:tblLayout w:type="fixed"/>
        <w:tblCellMar>
          <w:top w:w="0" w:type="dxa"/>
          <w:left w:w="0" w:type="dxa"/>
          <w:bottom w:w="0" w:type="dxa"/>
          <w:right w:w="0" w:type="dxa"/>
        </w:tblCellMar>
      </w:tblPr>
      <w:tblGrid>
        <w:gridCol w:w="494"/>
        <w:gridCol w:w="855"/>
        <w:gridCol w:w="2275"/>
        <w:gridCol w:w="680"/>
        <w:gridCol w:w="765"/>
        <w:gridCol w:w="765"/>
        <w:gridCol w:w="825"/>
        <w:gridCol w:w="990"/>
        <w:gridCol w:w="720"/>
        <w:gridCol w:w="702"/>
      </w:tblGrid>
      <w:tr>
        <w:tblPrEx>
          <w:tblCellMar>
            <w:top w:w="0" w:type="dxa"/>
            <w:left w:w="0" w:type="dxa"/>
            <w:bottom w:w="0" w:type="dxa"/>
            <w:right w:w="0" w:type="dxa"/>
          </w:tblCellMar>
        </w:tblPrEx>
        <w:trPr>
          <w:jc w:val="center"/>
        </w:trPr>
        <w:tc>
          <w:tcPr>
            <w:tcW w:w="362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（本列数据的勾稽关系为：第一项加第二项之和，等于第三项加第四项之和）</w:t>
            </w:r>
          </w:p>
        </w:tc>
        <w:tc>
          <w:tcPr>
            <w:tcW w:w="544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6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62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6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r>
      <w:tr>
        <w:tblPrEx>
          <w:tblCellMar>
            <w:top w:w="0" w:type="dxa"/>
            <w:left w:w="0" w:type="dxa"/>
            <w:bottom w:w="0" w:type="dxa"/>
            <w:right w:w="0"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一、本年新收政府信息公开申请数量</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1</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二、上年结转政府信息公开申请数量</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520" w:lineRule="exact"/>
              <w:jc w:val="center"/>
            </w:pPr>
            <w:r>
              <w:rPr>
                <w:rFonts w:hint="eastAsia" w:ascii="宋体" w:hAnsi="宋体" w:eastAsia="宋体" w:cs="宋体"/>
                <w:kern w:val="0"/>
                <w:sz w:val="20"/>
                <w:szCs w:val="20"/>
              </w:rPr>
              <w:t>三、本年度办理结果</w:t>
            </w:r>
          </w:p>
        </w:tc>
        <w:tc>
          <w:tcPr>
            <w:tcW w:w="3130" w:type="dxa"/>
            <w:gridSpan w:val="2"/>
            <w:tcBorders>
              <w:top w:val="nil"/>
              <w:left w:val="nil"/>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（一）予以公开</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3130" w:type="dxa"/>
            <w:gridSpan w:val="2"/>
            <w:tcBorders>
              <w:top w:val="nil"/>
              <w:left w:val="nil"/>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（二）部分公开（区分处理的，只计这一情形，不计其他情形）</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（三）不予公开</w:t>
            </w: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1.属于国家秘密</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2.其他法律行政法规禁止公开</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3.危及“三安全一稳定”</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4.保护第三方合法权益</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5.属于三类内部事务信息</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6.属于四类过程性信息</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7.属于行政执法案卷</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8.属于行政查询事项</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（四）无法提供</w:t>
            </w: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1.本机关不掌握相关政府信息</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2.没有现成信息需要另行制作</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3.补正后申请内容仍不明确</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（五）不予处理</w:t>
            </w: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1.信访举报投诉类申请</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2.重复申请</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3.要求提供公开出版物</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4.无正当理由大量反复申请</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22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left"/>
            </w:pPr>
            <w:r>
              <w:rPr>
                <w:rFonts w:hint="eastAsia" w:ascii="宋体" w:hAnsi="宋体" w:eastAsia="宋体" w:cs="宋体"/>
                <w:kern w:val="0"/>
                <w:sz w:val="20"/>
                <w:szCs w:val="20"/>
              </w:rPr>
              <w:t>5.要求行政机关确认或重新出具已获取信息</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3130" w:type="dxa"/>
            <w:gridSpan w:val="2"/>
            <w:tcBorders>
              <w:top w:val="nil"/>
              <w:left w:val="nil"/>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（六）其他处理</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1</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vAlign w:val="center"/>
          </w:tcPr>
          <w:p>
            <w:pPr>
              <w:spacing w:line="520" w:lineRule="exact"/>
              <w:rPr>
                <w:rFonts w:ascii="宋体"/>
                <w:sz w:val="24"/>
              </w:rPr>
            </w:pPr>
          </w:p>
        </w:tc>
        <w:tc>
          <w:tcPr>
            <w:tcW w:w="3130" w:type="dxa"/>
            <w:gridSpan w:val="2"/>
            <w:tcBorders>
              <w:top w:val="nil"/>
              <w:left w:val="nil"/>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（七）总计</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1</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jc w:val="center"/>
        </w:trPr>
        <w:tc>
          <w:tcPr>
            <w:tcW w:w="3624" w:type="dxa"/>
            <w:gridSpan w:val="3"/>
            <w:tcBorders>
              <w:top w:val="nil"/>
              <w:left w:val="single" w:color="auto" w:sz="8" w:space="0"/>
              <w:bottom w:val="single" w:color="auto" w:sz="8" w:space="0"/>
              <w:right w:val="single" w:color="auto" w:sz="8" w:space="0"/>
            </w:tcBorders>
            <w:shd w:val="clear" w:color="auto" w:fill="auto"/>
            <w:vAlign w:val="center"/>
          </w:tcPr>
          <w:p>
            <w:pPr>
              <w:widowControl/>
              <w:spacing w:line="520" w:lineRule="exact"/>
              <w:jc w:val="left"/>
            </w:pPr>
            <w:r>
              <w:rPr>
                <w:rFonts w:hint="eastAsia" w:ascii="宋体" w:hAnsi="宋体" w:eastAsia="宋体" w:cs="宋体"/>
                <w:kern w:val="0"/>
                <w:sz w:val="20"/>
                <w:szCs w:val="20"/>
              </w:rPr>
              <w:t>四、结转下年度继续办理</w:t>
            </w:r>
          </w:p>
        </w:tc>
        <w:tc>
          <w:tcPr>
            <w:tcW w:w="68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pPr>
            <w:r>
              <w:rPr>
                <w:rFonts w:hint="eastAsia" w:ascii="宋体" w:hAnsi="宋体" w:eastAsia="宋体" w:cs="宋体"/>
                <w:kern w:val="0"/>
                <w:sz w:val="20"/>
                <w:szCs w:val="20"/>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ind w:firstLine="200" w:firstLineChars="100"/>
              <w:jc w:val="left"/>
            </w:pPr>
            <w:r>
              <w:rPr>
                <w:rFonts w:hint="eastAsia" w:ascii="宋体" w:hAnsi="宋体" w:eastAsia="宋体" w:cs="宋体"/>
                <w:kern w:val="0"/>
                <w:sz w:val="20"/>
                <w:szCs w:val="20"/>
              </w:rPr>
              <w:t>0</w:t>
            </w:r>
          </w:p>
        </w:tc>
      </w:tr>
    </w:tbl>
    <w:p>
      <w:pPr>
        <w:widowControl/>
        <w:spacing w:line="520" w:lineRule="exact"/>
        <w:ind w:firstLine="640" w:firstLineChars="200"/>
        <w:jc w:val="left"/>
        <w:rPr>
          <w:sz w:val="32"/>
          <w:szCs w:val="32"/>
        </w:rPr>
      </w:pPr>
      <w:r>
        <w:rPr>
          <w:rFonts w:hint="eastAsia" w:ascii="黑体" w:hAnsi="宋体" w:eastAsia="黑体" w:cs="黑体"/>
          <w:sz w:val="32"/>
          <w:szCs w:val="32"/>
        </w:rPr>
        <w:t xml:space="preserve"> 四、政府信息公开行政复议和行政诉讼情况</w:t>
      </w: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404"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520" w:lineRule="exact"/>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492"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jc w:val="center"/>
            </w:pPr>
            <w:r>
              <w:rPr>
                <w:rFonts w:hint="eastAsia" w:ascii="宋体" w:hAnsi="宋体" w:eastAsia="宋体" w:cs="宋体"/>
                <w:kern w:val="0"/>
                <w:sz w:val="20"/>
                <w:szCs w:val="2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autoSpaceDE w:val="0"/>
              <w:snapToGrid w:val="0"/>
              <w:spacing w:line="520" w:lineRule="exact"/>
              <w:ind w:firstLine="210" w:firstLineChars="100"/>
              <w:jc w:val="left"/>
            </w:pPr>
            <w:r>
              <w:rPr>
                <w:rFonts w:hint="eastAsia"/>
              </w:rPr>
              <w:t>0</w:t>
            </w:r>
          </w:p>
        </w:tc>
      </w:tr>
    </w:tbl>
    <w:p>
      <w:pPr>
        <w:widowControl/>
        <w:spacing w:line="460" w:lineRule="exact"/>
        <w:ind w:firstLine="640" w:firstLineChars="200"/>
        <w:jc w:val="left"/>
        <w:rPr>
          <w:sz w:val="32"/>
          <w:szCs w:val="32"/>
        </w:rPr>
      </w:pPr>
      <w:r>
        <w:rPr>
          <w:rFonts w:hint="eastAsia" w:ascii="黑体" w:hAnsi="宋体" w:eastAsia="黑体" w:cs="黑体"/>
          <w:sz w:val="32"/>
          <w:szCs w:val="32"/>
        </w:rPr>
        <w:t>五、政府信息公开工作存在的主要问题及改进情况</w:t>
      </w:r>
    </w:p>
    <w:p>
      <w:pPr>
        <w:widowControl/>
        <w:spacing w:line="460" w:lineRule="exact"/>
        <w:ind w:firstLine="640" w:firstLineChars="200"/>
        <w:jc w:val="left"/>
        <w:rPr>
          <w:rFonts w:ascii="仿宋_GB2312" w:hAnsi="微软雅黑" w:eastAsia="仿宋_GB2312" w:cs="仿宋_GB2312"/>
          <w:color w:val="2B2B2B"/>
          <w:sz w:val="32"/>
          <w:szCs w:val="32"/>
        </w:rPr>
      </w:pPr>
      <w:r>
        <w:rPr>
          <w:rFonts w:hint="eastAsia" w:ascii="仿宋_GB2312" w:hAnsi="微软雅黑" w:eastAsia="仿宋_GB2312" w:cs="仿宋_GB2312"/>
          <w:color w:val="2B2B2B"/>
          <w:sz w:val="32"/>
          <w:szCs w:val="32"/>
        </w:rPr>
        <w:t>2020年，在市委市政府的正确领导下，我局政府信息公开取得了一定成效，但和上级的要求与群众的期盼还有一定差距，主要表现在：公开意识需要进一步提升。少数人员对主动公开的政府信息认识不到位，与公众需求还存在一些距离。主动公开的形式需要进一步改进。适合村（社区）群众查阅的公开形式还不够丰富，需通过更灵活有效的方式为群众提供更多的政府信息。信息公开业务能力需要进一步加强。对哪些信息应该主动公开、哪些可依申请公开、哪些依法不能公开把握不准。</w:t>
      </w:r>
    </w:p>
    <w:p>
      <w:pPr>
        <w:widowControl/>
        <w:spacing w:line="460" w:lineRule="exact"/>
        <w:ind w:firstLine="640" w:firstLineChars="200"/>
        <w:jc w:val="left"/>
        <w:rPr>
          <w:rFonts w:ascii="仿宋_GB2312" w:hAnsi="微软雅黑" w:eastAsia="仿宋_GB2312" w:cs="仿宋_GB2312"/>
          <w:color w:val="2B2B2B"/>
          <w:sz w:val="32"/>
          <w:szCs w:val="32"/>
        </w:rPr>
      </w:pPr>
      <w:r>
        <w:rPr>
          <w:rFonts w:hint="eastAsia" w:ascii="仿宋_GB2312" w:hAnsi="微软雅黑" w:eastAsia="仿宋_GB2312" w:cs="仿宋_GB2312"/>
          <w:color w:val="2B2B2B"/>
          <w:sz w:val="32"/>
          <w:szCs w:val="32"/>
        </w:rPr>
        <w:t>2021年，我局将紧紧结合自身工作实际，认真做好以下几方面工作：一是加大宣传教育力度。制定完善政府信息公开工作制度，严格工作标准，规范工作流程，增强系统人员的公开意识，使政务公开与业务工作同推进同落实。加强队伍建设，配齐配强人员力量，夯实政府信息公开工作基础。</w:t>
      </w:r>
    </w:p>
    <w:p>
      <w:pPr>
        <w:widowControl/>
        <w:spacing w:line="460" w:lineRule="exact"/>
        <w:jc w:val="left"/>
        <w:rPr>
          <w:rFonts w:ascii="仿宋_GB2312" w:hAnsi="微软雅黑" w:eastAsia="仿宋_GB2312" w:cs="仿宋_GB2312"/>
          <w:color w:val="2B2B2B"/>
          <w:sz w:val="32"/>
          <w:szCs w:val="32"/>
        </w:rPr>
      </w:pPr>
      <w:r>
        <w:rPr>
          <w:rFonts w:hint="eastAsia" w:ascii="仿宋_GB2312" w:hAnsi="微软雅黑" w:eastAsia="仿宋_GB2312" w:cs="仿宋_GB2312"/>
          <w:color w:val="2B2B2B"/>
          <w:sz w:val="32"/>
          <w:szCs w:val="32"/>
        </w:rPr>
        <w:t>二是引导群众参与政府信息公开工作。以信息公开为抓手，充分尊重群众意愿和需求，畅通公众与政府部门之间的沟通渠道，积极探索推广官方微博、微信等贴近群众的互动措施，充分听取各方意见和建议，加强社会关切舆情回应与公众互动，更好地服务百姓。三是提高政府信息公开工作能力水平。努力拓展公开内容，健全完善我局的信息公开目录，及时、准确、规范发布政府信息，努力提高政务公开的针对性、实效性，优化司法行政各项为民服务业务办理流程，提高办事效率，认真落实限时办结制，压缩办事时限，最大限度地提供便捷高效的公共法律服务。</w:t>
      </w:r>
    </w:p>
    <w:p>
      <w:pPr>
        <w:widowControl/>
        <w:spacing w:line="460" w:lineRule="exact"/>
        <w:ind w:firstLine="640" w:firstLineChars="200"/>
        <w:jc w:val="left"/>
        <w:rPr>
          <w:rFonts w:ascii="黑体" w:hAnsi="宋体" w:eastAsia="黑体" w:cs="黑体"/>
          <w:sz w:val="32"/>
          <w:szCs w:val="32"/>
        </w:rPr>
      </w:pPr>
      <w:r>
        <w:rPr>
          <w:rFonts w:hint="eastAsia" w:ascii="黑体" w:hAnsi="宋体" w:eastAsia="黑体" w:cs="黑体"/>
          <w:sz w:val="32"/>
          <w:szCs w:val="32"/>
        </w:rPr>
        <w:t>六、其他需要报告的事项</w:t>
      </w:r>
    </w:p>
    <w:p>
      <w:pPr>
        <w:widowControl/>
        <w:spacing w:line="460" w:lineRule="exact"/>
        <w:ind w:firstLine="640" w:firstLineChars="200"/>
        <w:jc w:val="left"/>
        <w:rPr>
          <w:rFonts w:ascii="仿宋_GB2312" w:hAnsi="微软雅黑" w:eastAsia="仿宋_GB2312" w:cs="仿宋_GB2312"/>
          <w:color w:val="2B2B2B"/>
          <w:sz w:val="32"/>
          <w:szCs w:val="32"/>
        </w:rPr>
      </w:pPr>
      <w:r>
        <w:rPr>
          <w:rFonts w:hint="eastAsia" w:ascii="仿宋_GB2312" w:hAnsi="微软雅黑" w:eastAsia="仿宋_GB2312" w:cs="仿宋_GB2312"/>
          <w:color w:val="2B2B2B"/>
          <w:sz w:val="32"/>
          <w:szCs w:val="32"/>
        </w:rPr>
        <w:t>2020年，市司法局共承办政协委员提案1件，“营商环境调研月”代表和选民意见建议2件，均在规定期限内形成了答复意见，并送达建议人、提案人，建议提案全部办结，答复意见全部公开，见面率、答复率、满意率均为100%。</w:t>
      </w:r>
    </w:p>
    <w:p>
      <w:pPr>
        <w:spacing w:line="520" w:lineRule="exact"/>
        <w:rPr>
          <w:sz w:val="32"/>
          <w:szCs w:val="32"/>
        </w:rPr>
      </w:pPr>
    </w:p>
    <w:p>
      <w:pPr>
        <w:spacing w:line="520" w:lineRule="exact"/>
        <w:rPr>
          <w:sz w:val="32"/>
          <w:szCs w:val="32"/>
        </w:rPr>
      </w:pPr>
    </w:p>
    <w:p>
      <w:pPr>
        <w:spacing w:line="520" w:lineRule="exact"/>
        <w:ind w:right="960"/>
        <w:jc w:val="right"/>
        <w:rPr>
          <w:rFonts w:ascii="仿宋_GB2312" w:eastAsia="仿宋_GB2312"/>
          <w:sz w:val="32"/>
          <w:szCs w:val="32"/>
        </w:rPr>
      </w:pPr>
      <w:r>
        <w:rPr>
          <w:rFonts w:hint="eastAsia" w:ascii="仿宋_GB2312" w:eastAsia="仿宋_GB2312"/>
          <w:sz w:val="32"/>
          <w:szCs w:val="32"/>
        </w:rPr>
        <w:t>张家港市司法局</w:t>
      </w:r>
    </w:p>
    <w:p>
      <w:pPr>
        <w:spacing w:line="520" w:lineRule="exact"/>
        <w:ind w:right="800"/>
        <w:jc w:val="right"/>
        <w:rPr>
          <w:sz w:val="32"/>
          <w:szCs w:val="32"/>
        </w:rPr>
      </w:pPr>
      <w:r>
        <w:rPr>
          <w:rFonts w:hint="eastAsia" w:ascii="仿宋_GB2312" w:eastAsia="仿宋_GB2312"/>
          <w:sz w:val="32"/>
          <w:szCs w:val="32"/>
        </w:rPr>
        <w:t>2021年1月15日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11959"/>
      <w:docPartObj>
        <w:docPartGallery w:val="AutoText"/>
      </w:docPartObj>
    </w:sdtPr>
    <w:sdtEndPr>
      <w:rPr>
        <w:rFonts w:ascii="Times New Roman" w:hAnsi="Times New Roman" w:cs="Times New Roman"/>
        <w:sz w:val="24"/>
        <w:szCs w:val="24"/>
      </w:rPr>
    </w:sdtEndPr>
    <w:sdtContent>
      <w:p>
        <w:pPr>
          <w:pStyle w:val="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5 -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11963"/>
      <w:docPartObj>
        <w:docPartGallery w:val="AutoText"/>
      </w:docPartObj>
    </w:sdtPr>
    <w:sdtContent>
      <w:p>
        <w:pPr>
          <w:pStyle w:val="2"/>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6 -</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RiNTI3ODNkNGRlNGU1NzJkNTQzZjYzNTRhNjdjYzEifQ=="/>
  </w:docVars>
  <w:rsids>
    <w:rsidRoot w:val="37D35A9B"/>
    <w:rsid w:val="00011183"/>
    <w:rsid w:val="00092185"/>
    <w:rsid w:val="000B0F9D"/>
    <w:rsid w:val="000C52CE"/>
    <w:rsid w:val="000D5828"/>
    <w:rsid w:val="000F78B1"/>
    <w:rsid w:val="00130B18"/>
    <w:rsid w:val="00151064"/>
    <w:rsid w:val="00164725"/>
    <w:rsid w:val="001702B9"/>
    <w:rsid w:val="001B754D"/>
    <w:rsid w:val="002D5465"/>
    <w:rsid w:val="00335173"/>
    <w:rsid w:val="003B0275"/>
    <w:rsid w:val="003D43D9"/>
    <w:rsid w:val="003F0AC5"/>
    <w:rsid w:val="0040563A"/>
    <w:rsid w:val="004C253D"/>
    <w:rsid w:val="00512C13"/>
    <w:rsid w:val="00542B35"/>
    <w:rsid w:val="00561D16"/>
    <w:rsid w:val="005A5905"/>
    <w:rsid w:val="005E3F27"/>
    <w:rsid w:val="005E78BA"/>
    <w:rsid w:val="006227AE"/>
    <w:rsid w:val="0063240D"/>
    <w:rsid w:val="00647BDB"/>
    <w:rsid w:val="00670B89"/>
    <w:rsid w:val="00673A18"/>
    <w:rsid w:val="006825A2"/>
    <w:rsid w:val="00686F53"/>
    <w:rsid w:val="00723F65"/>
    <w:rsid w:val="00752C01"/>
    <w:rsid w:val="00844E12"/>
    <w:rsid w:val="008D6FE7"/>
    <w:rsid w:val="009270D3"/>
    <w:rsid w:val="0094239F"/>
    <w:rsid w:val="0094525C"/>
    <w:rsid w:val="009C4035"/>
    <w:rsid w:val="00A43C89"/>
    <w:rsid w:val="00A51631"/>
    <w:rsid w:val="00A90B23"/>
    <w:rsid w:val="00A95F36"/>
    <w:rsid w:val="00AA7B90"/>
    <w:rsid w:val="00AB1709"/>
    <w:rsid w:val="00AB1B50"/>
    <w:rsid w:val="00AD6E3D"/>
    <w:rsid w:val="00BD0B0B"/>
    <w:rsid w:val="00DB3D06"/>
    <w:rsid w:val="00E1460A"/>
    <w:rsid w:val="00E247B4"/>
    <w:rsid w:val="00E8441B"/>
    <w:rsid w:val="00EA781A"/>
    <w:rsid w:val="00EB4F18"/>
    <w:rsid w:val="00F9629E"/>
    <w:rsid w:val="00F97ECD"/>
    <w:rsid w:val="00FA7E62"/>
    <w:rsid w:val="1CDF198A"/>
    <w:rsid w:val="37D35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7"/>
    <w:qFormat/>
    <w:uiPriority w:val="99"/>
    <w:pPr>
      <w:tabs>
        <w:tab w:val="center" w:pos="4153"/>
        <w:tab w:val="right" w:pos="8306"/>
      </w:tabs>
      <w:snapToGrid w:val="0"/>
      <w:jc w:val="left"/>
    </w:pPr>
    <w:rPr>
      <w:sz w:val="18"/>
      <w:szCs w:val="18"/>
    </w:rPr>
  </w:style>
  <w:style w:type="paragraph" w:styleId="3">
    <w:name w:val="header"/>
    <w:basedOn w:val="1"/>
    <w:link w:val="7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rFonts w:ascii="微软雅黑" w:hAnsi="微软雅黑" w:eastAsia="微软雅黑" w:cs="微软雅黑"/>
      <w:color w:val="000000"/>
      <w:u w:val="none"/>
    </w:rPr>
  </w:style>
  <w:style w:type="character" w:styleId="8">
    <w:name w:val="HTML Acronym"/>
    <w:basedOn w:val="6"/>
    <w:qFormat/>
    <w:uiPriority w:val="0"/>
  </w:style>
  <w:style w:type="character" w:styleId="9">
    <w:name w:val="Hyperlink"/>
    <w:basedOn w:val="6"/>
    <w:qFormat/>
    <w:uiPriority w:val="0"/>
    <w:rPr>
      <w:rFonts w:hint="eastAsia" w:ascii="微软雅黑" w:hAnsi="微软雅黑" w:eastAsia="微软雅黑" w:cs="微软雅黑"/>
      <w:color w:val="000000"/>
      <w:u w:val="none"/>
    </w:rPr>
  </w:style>
  <w:style w:type="character" w:customStyle="1" w:styleId="10">
    <w:name w:val="layui-layer-tabnow"/>
    <w:basedOn w:val="6"/>
    <w:qFormat/>
    <w:uiPriority w:val="0"/>
    <w:rPr>
      <w:bdr w:val="single" w:color="CCCCCC" w:sz="6" w:space="0"/>
      <w:shd w:val="clear" w:color="auto" w:fill="FFFFFF"/>
    </w:rPr>
  </w:style>
  <w:style w:type="character" w:customStyle="1" w:styleId="11">
    <w:name w:val="first-child"/>
    <w:basedOn w:val="6"/>
    <w:qFormat/>
    <w:uiPriority w:val="0"/>
  </w:style>
  <w:style w:type="character" w:customStyle="1" w:styleId="12">
    <w:name w:val="msg-box"/>
    <w:basedOn w:val="6"/>
    <w:qFormat/>
    <w:uiPriority w:val="0"/>
  </w:style>
  <w:style w:type="character" w:customStyle="1" w:styleId="13">
    <w:name w:val="msg-box1"/>
    <w:basedOn w:val="6"/>
    <w:qFormat/>
    <w:uiPriority w:val="0"/>
  </w:style>
  <w:style w:type="character" w:customStyle="1" w:styleId="14">
    <w:name w:val="msg-box2"/>
    <w:basedOn w:val="6"/>
    <w:qFormat/>
    <w:uiPriority w:val="0"/>
  </w:style>
  <w:style w:type="character" w:customStyle="1" w:styleId="15">
    <w:name w:val="msg-box3"/>
    <w:basedOn w:val="6"/>
    <w:qFormat/>
    <w:uiPriority w:val="0"/>
  </w:style>
  <w:style w:type="character" w:customStyle="1" w:styleId="16">
    <w:name w:val="num51"/>
    <w:basedOn w:val="6"/>
    <w:qFormat/>
    <w:uiPriority w:val="0"/>
  </w:style>
  <w:style w:type="character" w:customStyle="1" w:styleId="17">
    <w:name w:val="c2"/>
    <w:basedOn w:val="6"/>
    <w:qFormat/>
    <w:uiPriority w:val="0"/>
  </w:style>
  <w:style w:type="character" w:customStyle="1" w:styleId="18">
    <w:name w:val="p05"/>
    <w:basedOn w:val="6"/>
    <w:qFormat/>
    <w:uiPriority w:val="0"/>
  </w:style>
  <w:style w:type="character" w:customStyle="1" w:styleId="19">
    <w:name w:val="tit4"/>
    <w:basedOn w:val="6"/>
    <w:qFormat/>
    <w:uiPriority w:val="0"/>
    <w:rPr>
      <w:color w:val="B60000"/>
    </w:rPr>
  </w:style>
  <w:style w:type="character" w:customStyle="1" w:styleId="20">
    <w:name w:val="tit5"/>
    <w:basedOn w:val="6"/>
    <w:qFormat/>
    <w:uiPriority w:val="0"/>
    <w:rPr>
      <w:color w:val="B60000"/>
    </w:rPr>
  </w:style>
  <w:style w:type="character" w:customStyle="1" w:styleId="21">
    <w:name w:val="tit6"/>
    <w:basedOn w:val="6"/>
    <w:qFormat/>
    <w:uiPriority w:val="0"/>
    <w:rPr>
      <w:color w:val="FFFFFF"/>
    </w:rPr>
  </w:style>
  <w:style w:type="character" w:customStyle="1" w:styleId="22">
    <w:name w:val="tit7"/>
    <w:basedOn w:val="6"/>
    <w:qFormat/>
    <w:uiPriority w:val="0"/>
    <w:rPr>
      <w:b/>
      <w:color w:val="B60000"/>
    </w:rPr>
  </w:style>
  <w:style w:type="character" w:customStyle="1" w:styleId="23">
    <w:name w:val="tit8"/>
    <w:basedOn w:val="6"/>
    <w:qFormat/>
    <w:uiPriority w:val="0"/>
    <w:rPr>
      <w:color w:val="B60000"/>
    </w:rPr>
  </w:style>
  <w:style w:type="character" w:customStyle="1" w:styleId="24">
    <w:name w:val="tit9"/>
    <w:basedOn w:val="6"/>
    <w:qFormat/>
    <w:uiPriority w:val="0"/>
    <w:rPr>
      <w:color w:val="B60000"/>
      <w:sz w:val="27"/>
      <w:szCs w:val="27"/>
      <w:bdr w:val="single" w:color="DFCEB8" w:sz="6" w:space="0"/>
      <w:shd w:val="clear" w:color="auto" w:fill="FFFFFF"/>
    </w:rPr>
  </w:style>
  <w:style w:type="character" w:customStyle="1" w:styleId="25">
    <w:name w:val="tit10"/>
    <w:basedOn w:val="6"/>
    <w:qFormat/>
    <w:uiPriority w:val="0"/>
    <w:rPr>
      <w:color w:val="04A06C"/>
    </w:rPr>
  </w:style>
  <w:style w:type="character" w:customStyle="1" w:styleId="26">
    <w:name w:val="l3"/>
    <w:basedOn w:val="6"/>
    <w:qFormat/>
    <w:uiPriority w:val="0"/>
    <w:rPr>
      <w:color w:val="999999"/>
    </w:rPr>
  </w:style>
  <w:style w:type="character" w:customStyle="1" w:styleId="27">
    <w:name w:val="txt"/>
    <w:basedOn w:val="6"/>
    <w:qFormat/>
    <w:uiPriority w:val="0"/>
    <w:rPr>
      <w:color w:val="C0C0C0"/>
    </w:rPr>
  </w:style>
  <w:style w:type="character" w:customStyle="1" w:styleId="28">
    <w:name w:val="txt1"/>
    <w:basedOn w:val="6"/>
    <w:qFormat/>
    <w:uiPriority w:val="0"/>
  </w:style>
  <w:style w:type="character" w:customStyle="1" w:styleId="29">
    <w:name w:val="img"/>
    <w:basedOn w:val="6"/>
    <w:qFormat/>
    <w:uiPriority w:val="0"/>
  </w:style>
  <w:style w:type="character" w:customStyle="1" w:styleId="30">
    <w:name w:val="nostart"/>
    <w:basedOn w:val="6"/>
    <w:qFormat/>
    <w:uiPriority w:val="0"/>
    <w:rPr>
      <w:color w:val="B60000"/>
    </w:rPr>
  </w:style>
  <w:style w:type="character" w:customStyle="1" w:styleId="31">
    <w:name w:val="nostart1"/>
    <w:basedOn w:val="6"/>
    <w:qFormat/>
    <w:uiPriority w:val="0"/>
    <w:rPr>
      <w:color w:val="FF0000"/>
    </w:rPr>
  </w:style>
  <w:style w:type="character" w:customStyle="1" w:styleId="32">
    <w:name w:val="nostart2"/>
    <w:basedOn w:val="6"/>
    <w:qFormat/>
    <w:uiPriority w:val="0"/>
  </w:style>
  <w:style w:type="character" w:customStyle="1" w:styleId="33">
    <w:name w:val="nostart3"/>
    <w:basedOn w:val="6"/>
    <w:qFormat/>
    <w:uiPriority w:val="0"/>
    <w:rPr>
      <w:color w:val="FF0000"/>
    </w:rPr>
  </w:style>
  <w:style w:type="character" w:customStyle="1" w:styleId="34">
    <w:name w:val="name"/>
    <w:basedOn w:val="6"/>
    <w:qFormat/>
    <w:uiPriority w:val="0"/>
    <w:rPr>
      <w:color w:val="695435"/>
      <w:sz w:val="24"/>
      <w:szCs w:val="24"/>
    </w:rPr>
  </w:style>
  <w:style w:type="character" w:customStyle="1" w:styleId="35">
    <w:name w:val="name1"/>
    <w:basedOn w:val="6"/>
    <w:uiPriority w:val="0"/>
    <w:rPr>
      <w:color w:val="444444"/>
      <w:sz w:val="21"/>
      <w:szCs w:val="21"/>
    </w:rPr>
  </w:style>
  <w:style w:type="character" w:customStyle="1" w:styleId="36">
    <w:name w:val="name2"/>
    <w:basedOn w:val="6"/>
    <w:qFormat/>
    <w:uiPriority w:val="0"/>
    <w:rPr>
      <w:color w:val="000000"/>
      <w:sz w:val="39"/>
      <w:szCs w:val="39"/>
    </w:rPr>
  </w:style>
  <w:style w:type="character" w:customStyle="1" w:styleId="37">
    <w:name w:val="job"/>
    <w:basedOn w:val="6"/>
    <w:qFormat/>
    <w:uiPriority w:val="0"/>
  </w:style>
  <w:style w:type="character" w:customStyle="1" w:styleId="38">
    <w:name w:val="job1"/>
    <w:basedOn w:val="6"/>
    <w:qFormat/>
    <w:uiPriority w:val="0"/>
  </w:style>
  <w:style w:type="character" w:customStyle="1" w:styleId="39">
    <w:name w:val="img_title10"/>
    <w:basedOn w:val="6"/>
    <w:qFormat/>
    <w:uiPriority w:val="0"/>
    <w:rPr>
      <w:vanish/>
    </w:rPr>
  </w:style>
  <w:style w:type="character" w:customStyle="1" w:styleId="40">
    <w:name w:val="img_title11"/>
    <w:basedOn w:val="6"/>
    <w:uiPriority w:val="0"/>
    <w:rPr>
      <w:vanish/>
    </w:rPr>
  </w:style>
  <w:style w:type="character" w:customStyle="1" w:styleId="41">
    <w:name w:val="img_title12"/>
    <w:basedOn w:val="6"/>
    <w:qFormat/>
    <w:uiPriority w:val="0"/>
    <w:rPr>
      <w:vanish/>
    </w:rPr>
  </w:style>
  <w:style w:type="character" w:customStyle="1" w:styleId="42">
    <w:name w:val="img_title13"/>
    <w:basedOn w:val="6"/>
    <w:uiPriority w:val="0"/>
    <w:rPr>
      <w:vanish/>
    </w:rPr>
  </w:style>
  <w:style w:type="character" w:customStyle="1" w:styleId="43">
    <w:name w:val="red2"/>
    <w:basedOn w:val="6"/>
    <w:uiPriority w:val="0"/>
    <w:rPr>
      <w:rFonts w:hint="default" w:ascii="Arial" w:hAnsi="Arial" w:cs="Arial"/>
      <w:color w:val="E50000"/>
    </w:rPr>
  </w:style>
  <w:style w:type="character" w:customStyle="1" w:styleId="44">
    <w:name w:val="starting"/>
    <w:basedOn w:val="6"/>
    <w:qFormat/>
    <w:uiPriority w:val="0"/>
    <w:rPr>
      <w:color w:val="B60000"/>
    </w:rPr>
  </w:style>
  <w:style w:type="character" w:customStyle="1" w:styleId="45">
    <w:name w:val="starting1"/>
    <w:basedOn w:val="6"/>
    <w:uiPriority w:val="0"/>
  </w:style>
  <w:style w:type="character" w:customStyle="1" w:styleId="46">
    <w:name w:val="starting2"/>
    <w:basedOn w:val="6"/>
    <w:uiPriority w:val="0"/>
    <w:rPr>
      <w:color w:val="339900"/>
    </w:rPr>
  </w:style>
  <w:style w:type="character" w:customStyle="1" w:styleId="47">
    <w:name w:val="starting3"/>
    <w:basedOn w:val="6"/>
    <w:qFormat/>
    <w:uiPriority w:val="0"/>
  </w:style>
  <w:style w:type="character" w:customStyle="1" w:styleId="48">
    <w:name w:val="starting4"/>
    <w:basedOn w:val="6"/>
    <w:qFormat/>
    <w:uiPriority w:val="0"/>
    <w:rPr>
      <w:color w:val="339900"/>
    </w:rPr>
  </w:style>
  <w:style w:type="character" w:customStyle="1" w:styleId="49">
    <w:name w:val="over"/>
    <w:basedOn w:val="6"/>
    <w:uiPriority w:val="0"/>
    <w:rPr>
      <w:color w:val="999999"/>
    </w:rPr>
  </w:style>
  <w:style w:type="character" w:customStyle="1" w:styleId="50">
    <w:name w:val="over1"/>
    <w:basedOn w:val="6"/>
    <w:qFormat/>
    <w:uiPriority w:val="0"/>
    <w:rPr>
      <w:color w:val="B60000"/>
    </w:rPr>
  </w:style>
  <w:style w:type="character" w:customStyle="1" w:styleId="51">
    <w:name w:val="over2"/>
    <w:basedOn w:val="6"/>
    <w:uiPriority w:val="0"/>
  </w:style>
  <w:style w:type="character" w:customStyle="1" w:styleId="52">
    <w:name w:val="over3"/>
    <w:basedOn w:val="6"/>
    <w:qFormat/>
    <w:uiPriority w:val="0"/>
    <w:rPr>
      <w:color w:val="B60000"/>
    </w:rPr>
  </w:style>
  <w:style w:type="character" w:customStyle="1" w:styleId="53">
    <w:name w:val="mesg-myd"/>
    <w:basedOn w:val="6"/>
    <w:qFormat/>
    <w:uiPriority w:val="0"/>
    <w:rPr>
      <w:color w:val="EE0000"/>
    </w:rPr>
  </w:style>
  <w:style w:type="character" w:customStyle="1" w:styleId="54">
    <w:name w:val="buvis"/>
    <w:basedOn w:val="6"/>
    <w:uiPriority w:val="0"/>
    <w:rPr>
      <w:color w:val="999999"/>
    </w:rPr>
  </w:style>
  <w:style w:type="character" w:customStyle="1" w:styleId="55">
    <w:name w:val="buvis1"/>
    <w:basedOn w:val="6"/>
    <w:qFormat/>
    <w:uiPriority w:val="0"/>
    <w:rPr>
      <w:color w:val="CC0000"/>
    </w:rPr>
  </w:style>
  <w:style w:type="character" w:customStyle="1" w:styleId="56">
    <w:name w:val="datetime"/>
    <w:basedOn w:val="6"/>
    <w:qFormat/>
    <w:uiPriority w:val="0"/>
    <w:rPr>
      <w:rFonts w:hint="default" w:ascii="Arial" w:hAnsi="Arial" w:cs="Arial"/>
      <w:color w:val="999999"/>
      <w:sz w:val="21"/>
      <w:szCs w:val="21"/>
    </w:rPr>
  </w:style>
  <w:style w:type="character" w:customStyle="1" w:styleId="57">
    <w:name w:val="jg"/>
    <w:basedOn w:val="6"/>
    <w:uiPriority w:val="0"/>
  </w:style>
  <w:style w:type="character" w:customStyle="1" w:styleId="58">
    <w:name w:val="l7"/>
    <w:basedOn w:val="6"/>
    <w:qFormat/>
    <w:uiPriority w:val="0"/>
    <w:rPr>
      <w:color w:val="999999"/>
    </w:rPr>
  </w:style>
  <w:style w:type="character" w:customStyle="1" w:styleId="59">
    <w:name w:val="num61"/>
    <w:basedOn w:val="6"/>
    <w:qFormat/>
    <w:uiPriority w:val="0"/>
  </w:style>
  <w:style w:type="character" w:customStyle="1" w:styleId="60">
    <w:name w:val="num21"/>
    <w:basedOn w:val="6"/>
    <w:uiPriority w:val="0"/>
  </w:style>
  <w:style w:type="character" w:customStyle="1" w:styleId="61">
    <w:name w:val="num31"/>
    <w:basedOn w:val="6"/>
    <w:qFormat/>
    <w:uiPriority w:val="0"/>
  </w:style>
  <w:style w:type="character" w:customStyle="1" w:styleId="62">
    <w:name w:val="num41"/>
    <w:basedOn w:val="6"/>
    <w:qFormat/>
    <w:uiPriority w:val="0"/>
  </w:style>
  <w:style w:type="character" w:customStyle="1" w:styleId="63">
    <w:name w:val="num71"/>
    <w:basedOn w:val="6"/>
    <w:uiPriority w:val="0"/>
  </w:style>
  <w:style w:type="character" w:customStyle="1" w:styleId="64">
    <w:name w:val="num81"/>
    <w:basedOn w:val="6"/>
    <w:qFormat/>
    <w:uiPriority w:val="0"/>
  </w:style>
  <w:style w:type="character" w:customStyle="1" w:styleId="65">
    <w:name w:val="l1"/>
    <w:basedOn w:val="6"/>
    <w:qFormat/>
    <w:uiPriority w:val="0"/>
    <w:rPr>
      <w:color w:val="999999"/>
    </w:rPr>
  </w:style>
  <w:style w:type="character" w:customStyle="1" w:styleId="66">
    <w:name w:val="l2"/>
    <w:basedOn w:val="6"/>
    <w:uiPriority w:val="0"/>
    <w:rPr>
      <w:color w:val="999999"/>
    </w:rPr>
  </w:style>
  <w:style w:type="character" w:customStyle="1" w:styleId="67">
    <w:name w:val="l41"/>
    <w:basedOn w:val="6"/>
    <w:qFormat/>
    <w:uiPriority w:val="0"/>
    <w:rPr>
      <w:color w:val="999999"/>
    </w:rPr>
  </w:style>
  <w:style w:type="character" w:customStyle="1" w:styleId="68">
    <w:name w:val="l51"/>
    <w:basedOn w:val="6"/>
    <w:qFormat/>
    <w:uiPriority w:val="0"/>
    <w:rPr>
      <w:color w:val="999999"/>
    </w:rPr>
  </w:style>
  <w:style w:type="character" w:customStyle="1" w:styleId="69">
    <w:name w:val="l6"/>
    <w:basedOn w:val="6"/>
    <w:qFormat/>
    <w:uiPriority w:val="0"/>
    <w:rPr>
      <w:color w:val="999999"/>
    </w:rPr>
  </w:style>
  <w:style w:type="character" w:customStyle="1" w:styleId="70">
    <w:name w:val="unit"/>
    <w:basedOn w:val="6"/>
    <w:qFormat/>
    <w:uiPriority w:val="0"/>
    <w:rPr>
      <w:color w:val="999999"/>
    </w:rPr>
  </w:style>
  <w:style w:type="character" w:customStyle="1" w:styleId="71">
    <w:name w:val="shixiao"/>
    <w:basedOn w:val="6"/>
    <w:qFormat/>
    <w:uiPriority w:val="0"/>
  </w:style>
  <w:style w:type="character" w:customStyle="1" w:styleId="72">
    <w:name w:val="c1"/>
    <w:basedOn w:val="6"/>
    <w:uiPriority w:val="0"/>
  </w:style>
  <w:style w:type="character" w:customStyle="1" w:styleId="73">
    <w:name w:val="c3"/>
    <w:basedOn w:val="6"/>
    <w:uiPriority w:val="0"/>
  </w:style>
  <w:style w:type="character" w:customStyle="1" w:styleId="74">
    <w:name w:val="zs"/>
    <w:basedOn w:val="6"/>
    <w:qFormat/>
    <w:uiPriority w:val="0"/>
    <w:rPr>
      <w:color w:val="8D744B"/>
      <w:sz w:val="18"/>
      <w:szCs w:val="18"/>
    </w:rPr>
  </w:style>
  <w:style w:type="character" w:customStyle="1" w:styleId="75">
    <w:name w:val="zw"/>
    <w:basedOn w:val="6"/>
    <w:qFormat/>
    <w:uiPriority w:val="0"/>
    <w:rPr>
      <w:color w:val="BD1E22"/>
      <w:sz w:val="22"/>
      <w:szCs w:val="22"/>
    </w:rPr>
  </w:style>
  <w:style w:type="character" w:customStyle="1" w:styleId="76">
    <w:name w:val="页眉 Char"/>
    <w:basedOn w:val="6"/>
    <w:link w:val="3"/>
    <w:qFormat/>
    <w:uiPriority w:val="0"/>
    <w:rPr>
      <w:rFonts w:asciiTheme="minorHAnsi" w:hAnsiTheme="minorHAnsi" w:eastAsiaTheme="minorEastAsia" w:cstheme="minorBidi"/>
      <w:kern w:val="2"/>
      <w:sz w:val="18"/>
      <w:szCs w:val="18"/>
    </w:rPr>
  </w:style>
  <w:style w:type="character" w:customStyle="1" w:styleId="77">
    <w:name w:val="页脚 Char"/>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2518</Words>
  <Characters>2573</Characters>
  <Lines>21</Lines>
  <Paragraphs>5</Paragraphs>
  <TotalTime>389</TotalTime>
  <ScaleCrop>false</ScaleCrop>
  <LinksUpToDate>false</LinksUpToDate>
  <CharactersWithSpaces>2574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2020-02-05T10:13:00Z</dcterms:created>
  <dc:creator>user</dc:creator>
  <cp:lastModifiedBy>restart丶</cp:lastModifiedBy>
  <cp:lastPrinted>2020-02-06T01:14:00Z</cp:lastPrinted>
  <dcterms:modified xsi:type="dcterms:W3CDTF">2023-08-22T05:45:16Z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1CF61E5098D345739B66C31812E168DE_12</vt:lpwstr>
  </property>
</Properties>
</file>