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rPr>
          <w:rFonts w:ascii="宋体" w:hAnsi="宋体" w:eastAsia="宋体" w:cs="宋体"/>
          <w:b/>
          <w:color w:val="auto"/>
          <w:kern w:val="0"/>
          <w:sz w:val="39"/>
          <w:szCs w:val="39"/>
          <w:lang w:val="en-US" w:eastAsia="zh-CN" w:bidi="ar"/>
        </w:rPr>
      </w:pPr>
      <w:bookmarkStart w:id="0" w:name="_GoBack"/>
      <w:r>
        <w:rPr>
          <w:rFonts w:ascii="宋体" w:hAnsi="宋体" w:eastAsia="宋体" w:cs="宋体"/>
          <w:b/>
          <w:color w:val="auto"/>
          <w:kern w:val="0"/>
          <w:sz w:val="39"/>
          <w:szCs w:val="39"/>
          <w:lang w:val="en-US" w:eastAsia="zh-CN" w:bidi="ar"/>
        </w:rPr>
        <w:t>张家港市</w:t>
      </w:r>
      <w:r>
        <w:rPr>
          <w:rFonts w:hint="eastAsia" w:ascii="宋体" w:hAnsi="宋体" w:eastAsia="宋体" w:cs="宋体"/>
          <w:b/>
          <w:color w:val="auto"/>
          <w:kern w:val="0"/>
          <w:sz w:val="39"/>
          <w:szCs w:val="39"/>
          <w:lang w:val="en-US" w:eastAsia="zh-CN" w:bidi="ar"/>
        </w:rPr>
        <w:t>司法</w:t>
      </w:r>
      <w:r>
        <w:rPr>
          <w:rFonts w:ascii="宋体" w:hAnsi="宋体" w:eastAsia="宋体" w:cs="宋体"/>
          <w:b/>
          <w:color w:val="auto"/>
          <w:kern w:val="0"/>
          <w:sz w:val="39"/>
          <w:szCs w:val="39"/>
          <w:lang w:val="en-US" w:eastAsia="zh-CN" w:bidi="ar"/>
        </w:rPr>
        <w:t>局2019年政府信息公开工作</w:t>
      </w:r>
    </w:p>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rPr>
          <w:b/>
          <w:color w:val="auto"/>
          <w:sz w:val="39"/>
          <w:szCs w:val="39"/>
        </w:rPr>
      </w:pPr>
      <w:r>
        <w:rPr>
          <w:rFonts w:ascii="宋体" w:hAnsi="宋体" w:eastAsia="宋体" w:cs="宋体"/>
          <w:b/>
          <w:color w:val="auto"/>
          <w:kern w:val="0"/>
          <w:sz w:val="39"/>
          <w:szCs w:val="39"/>
          <w:lang w:val="en-US" w:eastAsia="zh-CN" w:bidi="ar"/>
        </w:rPr>
        <w:t>年度报告</w:t>
      </w:r>
      <w:bookmarkEnd w:id="0"/>
    </w:p>
    <w:p>
      <w:pPr>
        <w:pStyle w:val="2"/>
        <w:keepNext w:val="0"/>
        <w:keepLines w:val="0"/>
        <w:pageBreakBefore w:val="0"/>
        <w:widowControl/>
        <w:suppressLineNumbers w:val="0"/>
        <w:shd w:val="clear" w:fill="FFFFFF"/>
        <w:kinsoku/>
        <w:wordWrap/>
        <w:overflowPunct/>
        <w:topLinePunct w:val="0"/>
        <w:autoSpaceDN/>
        <w:bidi w:val="0"/>
        <w:adjustRightInd/>
        <w:spacing w:before="0" w:beforeAutospacing="0" w:after="0" w:afterAutospacing="0" w:line="520" w:lineRule="exact"/>
        <w:ind w:left="0" w:right="0" w:firstLine="640" w:firstLineChars="200"/>
        <w:jc w:val="left"/>
        <w:textAlignment w:val="auto"/>
        <w:rPr>
          <w:rFonts w:ascii="仿宋" w:hAnsi="仿宋" w:eastAsia="仿宋" w:cs="仿宋"/>
          <w:color w:val="auto"/>
          <w:sz w:val="32"/>
          <w:szCs w:val="32"/>
          <w:shd w:val="clear" w:fill="FFFFFF"/>
        </w:rPr>
      </w:pPr>
    </w:p>
    <w:p>
      <w:pPr>
        <w:pStyle w:val="2"/>
        <w:keepNext w:val="0"/>
        <w:keepLines w:val="0"/>
        <w:pageBreakBefore w:val="0"/>
        <w:widowControl/>
        <w:suppressLineNumbers w:val="0"/>
        <w:shd w:val="clear" w:fill="FFFFFF"/>
        <w:kinsoku/>
        <w:wordWrap/>
        <w:overflowPunct/>
        <w:topLinePunct w:val="0"/>
        <w:autoSpaceDN/>
        <w:bidi w:val="0"/>
        <w:adjustRightInd/>
        <w:spacing w:before="0" w:beforeAutospacing="0" w:after="0" w:afterAutospacing="0" w:line="520" w:lineRule="exact"/>
        <w:ind w:left="0" w:right="0" w:firstLine="640" w:firstLineChars="200"/>
        <w:jc w:val="left"/>
        <w:textAlignment w:val="auto"/>
        <w:rPr>
          <w:rFonts w:hint="eastAsia" w:ascii="仿宋" w:hAnsi="仿宋" w:eastAsia="仿宋" w:cs="仿宋"/>
          <w:color w:val="000000"/>
          <w:sz w:val="32"/>
          <w:szCs w:val="32"/>
          <w:shd w:val="clear" w:fill="FFFFFF"/>
        </w:rPr>
      </w:pPr>
      <w:r>
        <w:rPr>
          <w:rFonts w:ascii="仿宋" w:hAnsi="仿宋" w:eastAsia="仿宋" w:cs="仿宋"/>
          <w:color w:val="000000"/>
          <w:sz w:val="32"/>
          <w:szCs w:val="32"/>
          <w:shd w:val="clear" w:fill="FFFFFF"/>
        </w:rPr>
        <w:t>根据《中华人民共和国政府信息公开条例》、《国务院办公厅政府信息与政务公开办公室关于政府信息公开工作年度报告有关事项的通知》</w:t>
      </w:r>
      <w:r>
        <w:rPr>
          <w:rFonts w:hint="eastAsia" w:ascii="仿宋" w:hAnsi="仿宋" w:eastAsia="仿宋" w:cs="仿宋"/>
          <w:color w:val="000000"/>
          <w:sz w:val="32"/>
          <w:szCs w:val="32"/>
          <w:shd w:val="clear" w:fill="FFFFFF"/>
        </w:rPr>
        <w:t>、省政府办公厅《关于切实做好政府信息公开工作年度报告和规范政府信息公开平台有关事项的通知》等文件的要求，结合</w:t>
      </w:r>
      <w:r>
        <w:rPr>
          <w:rFonts w:hint="eastAsia" w:ascii="仿宋" w:hAnsi="仿宋" w:eastAsia="仿宋" w:cs="仿宋"/>
          <w:color w:val="000000"/>
          <w:sz w:val="32"/>
          <w:szCs w:val="32"/>
          <w:shd w:val="clear" w:fill="FFFFFF"/>
          <w:lang w:eastAsia="zh-CN"/>
        </w:rPr>
        <w:t>司法行政</w:t>
      </w:r>
      <w:r>
        <w:rPr>
          <w:rFonts w:hint="eastAsia" w:ascii="仿宋" w:hAnsi="仿宋" w:eastAsia="仿宋" w:cs="仿宋"/>
          <w:color w:val="000000"/>
          <w:sz w:val="32"/>
          <w:szCs w:val="32"/>
          <w:shd w:val="clear" w:fill="FFFFFF"/>
        </w:rPr>
        <w:t>工作实际，对全年政府信息公开工作情况进行总结</w:t>
      </w:r>
      <w:r>
        <w:rPr>
          <w:rFonts w:hint="eastAsia" w:ascii="仿宋" w:hAnsi="仿宋" w:eastAsia="仿宋" w:cs="仿宋"/>
          <w:color w:val="000000"/>
          <w:sz w:val="32"/>
          <w:szCs w:val="32"/>
          <w:shd w:val="clear" w:fill="FFFFFF"/>
          <w:lang w:eastAsia="zh-CN"/>
        </w:rPr>
        <w:t>报告</w:t>
      </w:r>
      <w:r>
        <w:rPr>
          <w:rFonts w:hint="eastAsia" w:ascii="仿宋" w:hAnsi="仿宋" w:eastAsia="仿宋" w:cs="仿宋"/>
          <w:color w:val="000000"/>
          <w:sz w:val="32"/>
          <w:szCs w:val="32"/>
          <w:shd w:val="clear" w:fill="FFFFFF"/>
        </w:rPr>
        <w:t>。</w:t>
      </w:r>
      <w:r>
        <w:rPr>
          <w:rFonts w:hint="eastAsia" w:ascii="仿宋" w:hAnsi="仿宋" w:eastAsia="仿宋" w:cs="仿宋"/>
          <w:color w:val="000000"/>
          <w:sz w:val="32"/>
          <w:szCs w:val="32"/>
          <w:shd w:val="clear" w:fill="FFFFFF"/>
          <w:lang w:eastAsia="zh-CN"/>
        </w:rPr>
        <w:t>本</w:t>
      </w:r>
      <w:r>
        <w:rPr>
          <w:rFonts w:hint="eastAsia" w:ascii="仿宋" w:hAnsi="仿宋" w:eastAsia="仿宋" w:cs="仿宋"/>
          <w:color w:val="000000"/>
          <w:sz w:val="32"/>
          <w:szCs w:val="32"/>
          <w:shd w:val="clear" w:fill="FFFFFF"/>
        </w:rPr>
        <w:t>报告主要内容包括总体情况、主动公开政府信息情况、政府信息依申请公开办理情况、因政府信息公开申请行政复议、提起行政诉讼情况、政府信息公开工作存在的主要问题及改进情况、</w:t>
      </w:r>
      <w:r>
        <w:rPr>
          <w:rFonts w:hint="eastAsia" w:ascii="仿宋" w:hAnsi="仿宋" w:eastAsia="仿宋" w:cs="仿宋"/>
          <w:color w:val="000000"/>
          <w:sz w:val="32"/>
          <w:szCs w:val="32"/>
          <w:shd w:val="clear" w:fill="FFFFFF"/>
          <w:lang w:eastAsia="zh-CN"/>
        </w:rPr>
        <w:t>其他需要报告的事项六部分组成</w:t>
      </w:r>
      <w:r>
        <w:rPr>
          <w:rFonts w:hint="eastAsia" w:ascii="仿宋" w:hAnsi="仿宋" w:eastAsia="仿宋" w:cs="仿宋"/>
          <w:color w:val="000000"/>
          <w:sz w:val="32"/>
          <w:szCs w:val="32"/>
          <w:shd w:val="clear" w:fill="FFFFFF"/>
        </w:rPr>
        <w:t>。</w:t>
      </w:r>
    </w:p>
    <w:p>
      <w:pPr>
        <w:pStyle w:val="2"/>
        <w:keepNext w:val="0"/>
        <w:keepLines w:val="0"/>
        <w:pageBreakBefore w:val="0"/>
        <w:widowControl/>
        <w:suppressLineNumbers w:val="0"/>
        <w:shd w:val="clear" w:fill="FFFFFF"/>
        <w:kinsoku/>
        <w:wordWrap/>
        <w:overflowPunct/>
        <w:topLinePunct w:val="0"/>
        <w:autoSpaceDN/>
        <w:bidi w:val="0"/>
        <w:adjustRightInd/>
        <w:spacing w:before="0" w:beforeAutospacing="0" w:after="0" w:afterAutospacing="0" w:line="520" w:lineRule="exact"/>
        <w:ind w:left="0" w:right="0" w:firstLine="640" w:firstLineChars="200"/>
        <w:jc w:val="left"/>
        <w:textAlignment w:val="auto"/>
        <w:rPr>
          <w:sz w:val="32"/>
          <w:szCs w:val="32"/>
        </w:rPr>
      </w:pPr>
      <w:r>
        <w:rPr>
          <w:rFonts w:ascii="黑体" w:hAnsi="宋体" w:eastAsia="黑体" w:cs="黑体"/>
          <w:kern w:val="2"/>
          <w:sz w:val="32"/>
          <w:szCs w:val="32"/>
          <w:lang w:val="en-US" w:eastAsia="zh-CN" w:bidi="ar"/>
        </w:rPr>
        <w:t>一、总体情况</w:t>
      </w:r>
    </w:p>
    <w:p>
      <w:pPr>
        <w:pStyle w:val="2"/>
        <w:keepNext w:val="0"/>
        <w:keepLines w:val="0"/>
        <w:pageBreakBefore w:val="0"/>
        <w:widowControl/>
        <w:suppressLineNumbers w:val="0"/>
        <w:shd w:val="clear" w:fill="FFFFFF"/>
        <w:kinsoku/>
        <w:wordWrap/>
        <w:overflowPunct/>
        <w:topLinePunct w:val="0"/>
        <w:autoSpaceDN/>
        <w:bidi w:val="0"/>
        <w:adjustRightInd/>
        <w:spacing w:before="0" w:beforeAutospacing="0" w:after="0" w:afterAutospacing="0" w:line="520" w:lineRule="exact"/>
        <w:ind w:left="0" w:right="0" w:firstLine="640" w:firstLineChars="200"/>
        <w:jc w:val="left"/>
        <w:textAlignment w:val="auto"/>
        <w:rPr>
          <w:rFonts w:hint="eastAsia" w:ascii="仿宋" w:hAnsi="仿宋" w:eastAsia="仿宋" w:cs="仿宋"/>
          <w:color w:val="000000"/>
          <w:kern w:val="0"/>
          <w:sz w:val="32"/>
          <w:szCs w:val="32"/>
          <w:shd w:val="clear" w:fill="FFFFFF"/>
          <w:lang w:val="en-US" w:eastAsia="zh-CN" w:bidi="ar"/>
        </w:rPr>
      </w:pPr>
      <w:r>
        <w:rPr>
          <w:rFonts w:hint="eastAsia" w:ascii="仿宋" w:hAnsi="仿宋" w:eastAsia="仿宋" w:cs="仿宋"/>
          <w:color w:val="000000"/>
          <w:kern w:val="0"/>
          <w:sz w:val="32"/>
          <w:szCs w:val="32"/>
          <w:shd w:val="clear" w:fill="FFFFFF"/>
          <w:lang w:val="en-US" w:eastAsia="zh-CN" w:bidi="ar"/>
        </w:rPr>
        <w:t>2019年，市司法局积极</w:t>
      </w:r>
      <w:r>
        <w:rPr>
          <w:rFonts w:hint="eastAsia" w:ascii="仿宋" w:hAnsi="仿宋" w:eastAsia="仿宋" w:cs="仿宋"/>
          <w:color w:val="000000"/>
          <w:sz w:val="32"/>
          <w:szCs w:val="32"/>
          <w:shd w:val="clear" w:fill="FFFFFF"/>
          <w:lang w:val="en-US" w:eastAsia="zh-CN"/>
        </w:rPr>
        <w:t>贯彻</w:t>
      </w:r>
      <w:r>
        <w:rPr>
          <w:rFonts w:hint="eastAsia" w:ascii="仿宋" w:hAnsi="仿宋" w:eastAsia="仿宋" w:cs="仿宋"/>
          <w:color w:val="000000"/>
          <w:kern w:val="0"/>
          <w:sz w:val="32"/>
          <w:szCs w:val="32"/>
          <w:shd w:val="clear" w:fill="FFFFFF"/>
          <w:lang w:val="en-US" w:eastAsia="zh-CN" w:bidi="ar"/>
        </w:rPr>
        <w:t>落实新修订的《中华人民共和国政府信息公开条例》，根据市委市政府政府信息公开工作的相关部署和要求，紧密结合司法行政工作实际，拓展公开形式，丰富公开内容，不断推进本系统信息公开工作取得新成效。</w:t>
      </w:r>
    </w:p>
    <w:p>
      <w:pPr>
        <w:keepNext w:val="0"/>
        <w:keepLines w:val="0"/>
        <w:pageBreakBefore w:val="0"/>
        <w:kinsoku/>
        <w:wordWrap/>
        <w:overflowPunct/>
        <w:topLinePunct w:val="0"/>
        <w:autoSpaceDN/>
        <w:bidi w:val="0"/>
        <w:adjustRightInd/>
        <w:spacing w:beforeAutospacing="0" w:afterAutospacing="0"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一是加强政府信息公开组织领导。</w:t>
      </w:r>
      <w:r>
        <w:rPr>
          <w:rFonts w:hint="eastAsia" w:ascii="仿宋_GB2312" w:eastAsia="仿宋_GB2312"/>
          <w:sz w:val="32"/>
          <w:szCs w:val="32"/>
        </w:rPr>
        <w:t>市司法局高度重视政务公开工作，</w:t>
      </w:r>
      <w:r>
        <w:rPr>
          <w:rFonts w:hint="eastAsia" w:ascii="仿宋_GB2312" w:eastAsia="仿宋_GB2312"/>
          <w:sz w:val="32"/>
          <w:szCs w:val="32"/>
          <w:lang w:eastAsia="zh-CN"/>
        </w:rPr>
        <w:t>结合机构重组情况，</w:t>
      </w:r>
      <w:r>
        <w:rPr>
          <w:rFonts w:hint="eastAsia" w:ascii="仿宋_GB2312" w:eastAsia="仿宋_GB2312"/>
          <w:sz w:val="32"/>
          <w:szCs w:val="32"/>
        </w:rPr>
        <w:t>根据《三定方案》，</w:t>
      </w:r>
      <w:r>
        <w:rPr>
          <w:rFonts w:hint="eastAsia" w:ascii="仿宋_GB2312" w:eastAsia="仿宋_GB2312"/>
          <w:sz w:val="32"/>
          <w:szCs w:val="32"/>
          <w:lang w:eastAsia="zh-CN"/>
        </w:rPr>
        <w:t>及时调整政务公开工作领导小组，由</w:t>
      </w:r>
      <w:r>
        <w:rPr>
          <w:rFonts w:hint="eastAsia" w:ascii="仿宋_GB2312" w:eastAsia="仿宋_GB2312"/>
          <w:sz w:val="32"/>
          <w:szCs w:val="32"/>
        </w:rPr>
        <w:t>局主要领导负总责，分管领导亲自抓、亲自督导，办公室具体负责相关工作</w:t>
      </w:r>
      <w:r>
        <w:rPr>
          <w:rFonts w:hint="eastAsia" w:ascii="仿宋_GB2312" w:eastAsia="仿宋_GB2312"/>
          <w:sz w:val="32"/>
          <w:szCs w:val="32"/>
          <w:lang w:eastAsia="zh-CN"/>
        </w:rPr>
        <w:t>，并将</w:t>
      </w:r>
      <w:r>
        <w:rPr>
          <w:rFonts w:hint="eastAsia" w:ascii="仿宋_GB2312" w:eastAsia="仿宋_GB2312"/>
          <w:sz w:val="32"/>
          <w:szCs w:val="32"/>
        </w:rPr>
        <w:t>政务公开工作纳入本单位</w:t>
      </w:r>
      <w:r>
        <w:rPr>
          <w:rFonts w:hint="eastAsia" w:ascii="仿宋_GB2312" w:eastAsia="仿宋_GB2312"/>
          <w:sz w:val="32"/>
          <w:szCs w:val="32"/>
          <w:lang w:eastAsia="zh-CN"/>
        </w:rPr>
        <w:t>重点工作内容</w:t>
      </w:r>
      <w:r>
        <w:rPr>
          <w:rFonts w:hint="eastAsia" w:ascii="仿宋_GB2312" w:eastAsia="仿宋_GB2312"/>
          <w:sz w:val="32"/>
          <w:szCs w:val="32"/>
        </w:rPr>
        <w:t>。</w:t>
      </w:r>
    </w:p>
    <w:p>
      <w:pPr>
        <w:keepNext w:val="0"/>
        <w:keepLines w:val="0"/>
        <w:pageBreakBefore w:val="0"/>
        <w:kinsoku/>
        <w:wordWrap/>
        <w:overflowPunct/>
        <w:topLinePunct w:val="0"/>
        <w:autoSpaceDN/>
        <w:bidi w:val="0"/>
        <w:adjustRightInd/>
        <w:spacing w:beforeAutospacing="0" w:afterAutospacing="0"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二是严格政府信息</w:t>
      </w:r>
      <w:r>
        <w:rPr>
          <w:rFonts w:hint="eastAsia" w:ascii="仿宋_GB2312" w:eastAsia="仿宋_GB2312"/>
          <w:sz w:val="32"/>
          <w:szCs w:val="32"/>
        </w:rPr>
        <w:t>公开</w:t>
      </w:r>
      <w:r>
        <w:rPr>
          <w:rFonts w:hint="eastAsia" w:ascii="仿宋_GB2312" w:eastAsia="仿宋_GB2312"/>
          <w:sz w:val="32"/>
          <w:szCs w:val="32"/>
          <w:lang w:eastAsia="zh-CN"/>
        </w:rPr>
        <w:t>工作</w:t>
      </w:r>
      <w:r>
        <w:rPr>
          <w:rFonts w:hint="eastAsia" w:ascii="仿宋_GB2312" w:eastAsia="仿宋_GB2312"/>
          <w:sz w:val="32"/>
          <w:szCs w:val="32"/>
        </w:rPr>
        <w:t>制度</w:t>
      </w:r>
      <w:r>
        <w:rPr>
          <w:rFonts w:hint="eastAsia" w:ascii="仿宋_GB2312" w:eastAsia="仿宋_GB2312"/>
          <w:sz w:val="32"/>
          <w:szCs w:val="32"/>
          <w:lang w:eastAsia="zh-CN"/>
        </w:rPr>
        <w:t>。</w:t>
      </w:r>
      <w:r>
        <w:rPr>
          <w:rFonts w:hint="eastAsia" w:ascii="仿宋_GB2312" w:eastAsia="仿宋_GB2312"/>
          <w:sz w:val="32"/>
          <w:szCs w:val="32"/>
        </w:rPr>
        <w:t>建立信息发布审查制度，所有公开的信息必须进行保密审查，由分管局领导、主要领导</w:t>
      </w:r>
      <w:r>
        <w:rPr>
          <w:rFonts w:hint="eastAsia" w:ascii="仿宋_GB2312" w:eastAsia="仿宋_GB2312"/>
          <w:sz w:val="32"/>
          <w:szCs w:val="32"/>
          <w:lang w:eastAsia="zh-CN"/>
        </w:rPr>
        <w:t>审核</w:t>
      </w:r>
      <w:r>
        <w:rPr>
          <w:rFonts w:hint="eastAsia" w:ascii="仿宋_GB2312" w:eastAsia="仿宋_GB2312"/>
          <w:sz w:val="32"/>
          <w:szCs w:val="32"/>
        </w:rPr>
        <w:t>批准后，</w:t>
      </w:r>
      <w:r>
        <w:rPr>
          <w:rFonts w:hint="eastAsia" w:ascii="仿宋_GB2312" w:eastAsia="仿宋_GB2312"/>
          <w:sz w:val="32"/>
          <w:szCs w:val="32"/>
          <w:lang w:eastAsia="zh-CN"/>
        </w:rPr>
        <w:t>方可</w:t>
      </w:r>
      <w:r>
        <w:rPr>
          <w:rFonts w:hint="eastAsia" w:ascii="仿宋_GB2312" w:eastAsia="仿宋_GB2312"/>
          <w:sz w:val="32"/>
          <w:szCs w:val="32"/>
        </w:rPr>
        <w:t>对外发布，对不确定是否公开的信息，依照法律、法规和国家有关规定报有关主管部门或者同级保密部门确定。</w:t>
      </w:r>
    </w:p>
    <w:p>
      <w:pPr>
        <w:keepNext w:val="0"/>
        <w:keepLines w:val="0"/>
        <w:pageBreakBefore w:val="0"/>
        <w:kinsoku/>
        <w:wordWrap/>
        <w:overflowPunct/>
        <w:topLinePunct w:val="0"/>
        <w:autoSpaceDN/>
        <w:bidi w:val="0"/>
        <w:adjustRightInd/>
        <w:spacing w:beforeAutospacing="0" w:afterAutospacing="0"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lang w:eastAsia="zh-CN"/>
        </w:rPr>
        <w:t>三是完善政府信息</w:t>
      </w:r>
      <w:r>
        <w:rPr>
          <w:rFonts w:hint="eastAsia" w:ascii="仿宋_GB2312" w:eastAsia="仿宋_GB2312"/>
          <w:sz w:val="32"/>
          <w:szCs w:val="32"/>
        </w:rPr>
        <w:t>公开</w:t>
      </w:r>
      <w:r>
        <w:rPr>
          <w:rFonts w:hint="eastAsia" w:ascii="仿宋_GB2312" w:eastAsia="仿宋_GB2312"/>
          <w:sz w:val="32"/>
          <w:szCs w:val="32"/>
          <w:lang w:eastAsia="zh-CN"/>
        </w:rPr>
        <w:t>内容载体。</w:t>
      </w:r>
      <w:r>
        <w:rPr>
          <w:rFonts w:hint="eastAsia" w:ascii="仿宋_GB2312" w:eastAsia="仿宋_GB2312"/>
          <w:sz w:val="32"/>
          <w:szCs w:val="32"/>
        </w:rPr>
        <w:t>我局按照上级统一部署，发布最新的权责清单、权力运行流程图、公共服务事项清单。严格落实“双公示”和“双随机、一公开”的工作要求，并及时公开。同时，高度重视网络信息平台建设，对张家港市人民政府网信息公开栏目进行及时维护更新，对不合理的栏目进行调整，并借助政务微博微信及时主动公开相关信息。</w:t>
      </w:r>
    </w:p>
    <w:p>
      <w:pPr>
        <w:keepNext w:val="0"/>
        <w:keepLines w:val="0"/>
        <w:pageBreakBefore w:val="0"/>
        <w:kinsoku/>
        <w:wordWrap/>
        <w:overflowPunct/>
        <w:topLinePunct w:val="0"/>
        <w:autoSpaceDN/>
        <w:bidi w:val="0"/>
        <w:adjustRightInd/>
        <w:spacing w:beforeAutospacing="0" w:afterAutospacing="0" w:line="52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2019年</w:t>
      </w:r>
      <w:r>
        <w:rPr>
          <w:rFonts w:hint="eastAsia" w:ascii="仿宋_GB2312" w:eastAsia="仿宋_GB2312"/>
          <w:sz w:val="32"/>
          <w:szCs w:val="32"/>
          <w:lang w:eastAsia="zh-CN"/>
        </w:rPr>
        <w:t>，市司法局</w:t>
      </w:r>
      <w:r>
        <w:rPr>
          <w:rFonts w:hint="eastAsia" w:ascii="仿宋_GB2312" w:eastAsia="仿宋_GB2312"/>
          <w:sz w:val="32"/>
          <w:szCs w:val="32"/>
        </w:rPr>
        <w:t>在张家港市人民政府网信息公开栏目主动公开政务信息30条</w:t>
      </w:r>
      <w:r>
        <w:rPr>
          <w:rFonts w:hint="eastAsia" w:ascii="仿宋_GB2312" w:eastAsia="仿宋_GB2312"/>
          <w:sz w:val="32"/>
          <w:szCs w:val="32"/>
          <w:lang w:eastAsia="zh-CN"/>
        </w:rPr>
        <w:t>，</w:t>
      </w:r>
      <w:r>
        <w:rPr>
          <w:rFonts w:hint="eastAsia" w:ascii="仿宋_GB2312" w:eastAsia="仿宋_GB2312"/>
          <w:sz w:val="32"/>
          <w:szCs w:val="32"/>
        </w:rPr>
        <w:t>发布网上调查2个，及时更新维护法治政府建设专栏。张家港司法行政微博共发布信息近500条，张家港普法微信公众号共发布信息近600条。及时答复和解决群众反映的各类问题，全年共受理“12345”投诉咨询7件，均做到按时处理答复。2019年，我局没有收到政府信息公开申请。</w:t>
      </w:r>
    </w:p>
    <w:p>
      <w:pPr>
        <w:keepNext w:val="0"/>
        <w:keepLines w:val="0"/>
        <w:pageBreakBefore w:val="0"/>
        <w:kinsoku/>
        <w:wordWrap/>
        <w:overflowPunct/>
        <w:topLinePunct w:val="0"/>
        <w:autoSpaceDN/>
        <w:bidi w:val="0"/>
        <w:adjustRightInd/>
        <w:spacing w:beforeAutospacing="0" w:afterAutospacing="0" w:line="520" w:lineRule="exact"/>
        <w:ind w:firstLine="640" w:firstLineChars="200"/>
        <w:textAlignment w:val="auto"/>
        <w:rPr>
          <w:sz w:val="32"/>
          <w:szCs w:val="32"/>
        </w:rPr>
      </w:pPr>
      <w:r>
        <w:rPr>
          <w:rFonts w:hint="eastAsia" w:ascii="黑体" w:hAnsi="宋体" w:eastAsia="黑体" w:cs="黑体"/>
          <w:kern w:val="2"/>
          <w:sz w:val="32"/>
          <w:szCs w:val="32"/>
          <w:lang w:val="en-US" w:eastAsia="zh-CN" w:bidi="ar"/>
        </w:rPr>
        <w:t>二、主动公开政府信息情况</w:t>
      </w:r>
    </w:p>
    <w:tbl>
      <w:tblPr>
        <w:tblW w:w="8140" w:type="dxa"/>
        <w:jc w:val="center"/>
        <w:shd w:val="clear"/>
        <w:tblLayout w:type="fixed"/>
        <w:tblCellMar>
          <w:top w:w="0" w:type="dxa"/>
          <w:left w:w="0" w:type="dxa"/>
          <w:bottom w:w="0" w:type="dxa"/>
          <w:right w:w="0" w:type="dxa"/>
        </w:tblCellMar>
      </w:tblPr>
      <w:tblGrid>
        <w:gridCol w:w="2650"/>
        <w:gridCol w:w="1896"/>
        <w:gridCol w:w="1713"/>
        <w:gridCol w:w="1881"/>
      </w:tblGrid>
      <w:tr>
        <w:tblPrEx>
          <w:shd w:val="clear"/>
          <w:tblCellMar>
            <w:top w:w="0" w:type="dxa"/>
            <w:left w:w="0" w:type="dxa"/>
            <w:bottom w:w="0" w:type="dxa"/>
            <w:right w:w="0" w:type="dxa"/>
          </w:tblCellMar>
        </w:tblPrEx>
        <w:trPr>
          <w:trHeight w:val="397"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第二十条第（一）项</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信息内容</w:t>
            </w:r>
          </w:p>
        </w:tc>
        <w:tc>
          <w:tcPr>
            <w:tcW w:w="1896" w:type="dxa"/>
            <w:tcBorders>
              <w:top w:val="single" w:color="auto" w:sz="8" w:space="0"/>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本年新</w:t>
            </w:r>
            <w:r>
              <w:rPr>
                <w:rFonts w:hint="eastAsia" w:ascii="宋体" w:hAnsi="宋体" w:eastAsia="宋体" w:cs="宋体"/>
                <w:kern w:val="0"/>
                <w:sz w:val="20"/>
                <w:szCs w:val="20"/>
                <w:bdr w:val="none" w:color="auto" w:sz="0" w:space="0"/>
                <w:lang w:val="en-US" w:eastAsia="zh-CN" w:bidi="ar"/>
              </w:rPr>
              <w:t>制作数量</w:t>
            </w:r>
          </w:p>
        </w:tc>
        <w:tc>
          <w:tcPr>
            <w:tcW w:w="171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本年新</w:t>
            </w:r>
            <w:r>
              <w:rPr>
                <w:rFonts w:hint="eastAsia" w:ascii="宋体" w:hAnsi="宋体" w:eastAsia="宋体" w:cs="宋体"/>
                <w:kern w:val="0"/>
                <w:sz w:val="20"/>
                <w:szCs w:val="20"/>
                <w:bdr w:val="none" w:color="auto" w:sz="0" w:space="0"/>
                <w:lang w:val="en-US" w:eastAsia="zh-CN" w:bidi="ar"/>
              </w:rPr>
              <w:t>公开数量</w:t>
            </w:r>
          </w:p>
        </w:tc>
        <w:tc>
          <w:tcPr>
            <w:tcW w:w="1881"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对外公开总数量</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规章</w:t>
            </w:r>
          </w:p>
        </w:tc>
        <w:tc>
          <w:tcPr>
            <w:tcW w:w="1896"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1713"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trHeight w:val="397" w:hRule="atLeast"/>
          <w:jc w:val="center"/>
        </w:trPr>
        <w:tc>
          <w:tcPr>
            <w:tcW w:w="2650" w:type="dxa"/>
            <w:tcBorders>
              <w:top w:val="single" w:color="auto" w:sz="8" w:space="0"/>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规范性文件</w:t>
            </w:r>
          </w:p>
        </w:tc>
        <w:tc>
          <w:tcPr>
            <w:tcW w:w="1896" w:type="dxa"/>
            <w:tcBorders>
              <w:top w:val="single" w:color="auto" w:sz="8" w:space="0"/>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171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1881" w:type="dxa"/>
            <w:tcBorders>
              <w:top w:val="single" w:color="auto" w:sz="8" w:space="0"/>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trHeight w:val="397" w:hRule="atLeast"/>
          <w:jc w:val="center"/>
        </w:trPr>
        <w:tc>
          <w:tcPr>
            <w:tcW w:w="8140" w:type="dxa"/>
            <w:gridSpan w:val="4"/>
            <w:tcBorders>
              <w:top w:val="single" w:color="auto" w:sz="8" w:space="0"/>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第二十条第（五）项</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信息内容</w:t>
            </w:r>
          </w:p>
        </w:tc>
        <w:tc>
          <w:tcPr>
            <w:tcW w:w="1896" w:type="dxa"/>
            <w:tcBorders>
              <w:top w:val="single" w:color="auto" w:sz="8" w:space="0"/>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上一年项目数量</w:t>
            </w:r>
          </w:p>
        </w:tc>
        <w:tc>
          <w:tcPr>
            <w:tcW w:w="171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本年增/减</w:t>
            </w:r>
          </w:p>
        </w:tc>
        <w:tc>
          <w:tcPr>
            <w:tcW w:w="1881"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处理决定数量</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行政许可</w:t>
            </w:r>
          </w:p>
        </w:tc>
        <w:tc>
          <w:tcPr>
            <w:tcW w:w="1896" w:type="dxa"/>
            <w:tcBorders>
              <w:top w:val="nil"/>
              <w:left w:val="nil"/>
              <w:bottom w:val="single" w:color="auto" w:sz="8" w:space="0"/>
              <w:right w:val="single" w:color="auto" w:sz="8" w:space="0"/>
            </w:tcBorders>
            <w:shd w:val="clear"/>
            <w:noWrap/>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2</w:t>
            </w:r>
          </w:p>
        </w:tc>
        <w:tc>
          <w:tcPr>
            <w:tcW w:w="1713" w:type="dxa"/>
            <w:tcBorders>
              <w:top w:val="nil"/>
              <w:left w:val="nil"/>
              <w:bottom w:val="single" w:color="auto" w:sz="8" w:space="0"/>
              <w:right w:val="single" w:color="auto" w:sz="8" w:space="0"/>
            </w:tcBorders>
            <w:shd w:val="clear"/>
            <w:noWrap/>
            <w:tcMar>
              <w:left w:w="108" w:type="dxa"/>
              <w:right w:w="108" w:type="dxa"/>
            </w:tcMar>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noWrap/>
            <w:tcMar>
              <w:left w:w="108" w:type="dxa"/>
              <w:right w:w="108" w:type="dxa"/>
            </w:tcMar>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0</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其他对外管理服务事项</w:t>
            </w:r>
          </w:p>
        </w:tc>
        <w:tc>
          <w:tcPr>
            <w:tcW w:w="1896" w:type="dxa"/>
            <w:tcBorders>
              <w:top w:val="nil"/>
              <w:left w:val="nil"/>
              <w:bottom w:val="single" w:color="auto" w:sz="8" w:space="0"/>
              <w:right w:val="single" w:color="auto" w:sz="8" w:space="0"/>
            </w:tcBorders>
            <w:shd w:val="clear"/>
            <w:noWrap/>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rPr>
                <w:rFonts w:hint="default"/>
                <w:lang w:val="en-US"/>
              </w:rPr>
            </w:pPr>
            <w:r>
              <w:rPr>
                <w:rFonts w:hint="eastAsia" w:ascii="宋体" w:hAnsi="宋体" w:eastAsia="宋体" w:cs="宋体"/>
                <w:kern w:val="2"/>
                <w:sz w:val="20"/>
                <w:szCs w:val="20"/>
                <w:bdr w:val="none" w:color="auto" w:sz="0" w:space="0"/>
                <w:lang w:val="en-US" w:eastAsia="zh-CN" w:bidi="ar"/>
              </w:rPr>
              <w:t>12</w:t>
            </w:r>
          </w:p>
        </w:tc>
        <w:tc>
          <w:tcPr>
            <w:tcW w:w="1713" w:type="dxa"/>
            <w:tcBorders>
              <w:top w:val="nil"/>
              <w:left w:val="nil"/>
              <w:bottom w:val="single" w:color="auto" w:sz="8" w:space="0"/>
              <w:right w:val="single" w:color="auto" w:sz="8" w:space="0"/>
            </w:tcBorders>
            <w:shd w:val="clear"/>
            <w:noWrap/>
            <w:tcMar>
              <w:left w:w="108" w:type="dxa"/>
              <w:right w:w="108" w:type="dxa"/>
            </w:tcMar>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1</w:t>
            </w:r>
          </w:p>
        </w:tc>
        <w:tc>
          <w:tcPr>
            <w:tcW w:w="1881" w:type="dxa"/>
            <w:tcBorders>
              <w:top w:val="nil"/>
              <w:left w:val="nil"/>
              <w:bottom w:val="single" w:color="auto" w:sz="8" w:space="0"/>
              <w:right w:val="single" w:color="auto" w:sz="8" w:space="0"/>
            </w:tcBorders>
            <w:shd w:val="clear"/>
            <w:noWrap/>
            <w:tcMar>
              <w:left w:w="108" w:type="dxa"/>
              <w:right w:w="108" w:type="dxa"/>
            </w:tcMar>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0</w:t>
            </w:r>
          </w:p>
        </w:tc>
      </w:tr>
      <w:tr>
        <w:tblPrEx>
          <w:tblCellMar>
            <w:top w:w="0" w:type="dxa"/>
            <w:left w:w="0" w:type="dxa"/>
            <w:bottom w:w="0" w:type="dxa"/>
            <w:right w:w="0" w:type="dxa"/>
          </w:tblCellMar>
        </w:tblPrEx>
        <w:trPr>
          <w:trHeight w:val="397"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第二十条第（六）项</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信息内容</w:t>
            </w:r>
          </w:p>
        </w:tc>
        <w:tc>
          <w:tcPr>
            <w:tcW w:w="1896" w:type="dxa"/>
            <w:tcBorders>
              <w:top w:val="single" w:color="auto" w:sz="8" w:space="0"/>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上一年项目数量</w:t>
            </w:r>
          </w:p>
        </w:tc>
        <w:tc>
          <w:tcPr>
            <w:tcW w:w="1713"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本年增/减</w:t>
            </w:r>
          </w:p>
        </w:tc>
        <w:tc>
          <w:tcPr>
            <w:tcW w:w="1881"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处理决定数量</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行政处罚</w:t>
            </w:r>
          </w:p>
        </w:tc>
        <w:tc>
          <w:tcPr>
            <w:tcW w:w="1896" w:type="dxa"/>
            <w:tcBorders>
              <w:top w:val="nil"/>
              <w:left w:val="nil"/>
              <w:bottom w:val="single" w:color="auto" w:sz="8" w:space="0"/>
              <w:right w:val="single" w:color="auto" w:sz="8" w:space="0"/>
            </w:tcBorders>
            <w:shd w:val="clear"/>
            <w:noWrap/>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5</w:t>
            </w:r>
          </w:p>
        </w:tc>
        <w:tc>
          <w:tcPr>
            <w:tcW w:w="1713" w:type="dxa"/>
            <w:tcBorders>
              <w:top w:val="nil"/>
              <w:left w:val="nil"/>
              <w:bottom w:val="single" w:color="auto" w:sz="8" w:space="0"/>
              <w:right w:val="single" w:color="auto" w:sz="8" w:space="0"/>
            </w:tcBorders>
            <w:shd w:val="clear"/>
            <w:noWrap/>
            <w:tcMar>
              <w:left w:w="108" w:type="dxa"/>
              <w:right w:w="108" w:type="dxa"/>
            </w:tcMar>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noWrap/>
            <w:tcMar>
              <w:left w:w="108" w:type="dxa"/>
              <w:right w:w="108" w:type="dxa"/>
            </w:tcMar>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0</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行政强制</w:t>
            </w:r>
          </w:p>
        </w:tc>
        <w:tc>
          <w:tcPr>
            <w:tcW w:w="1896" w:type="dxa"/>
            <w:tcBorders>
              <w:top w:val="nil"/>
              <w:left w:val="nil"/>
              <w:bottom w:val="single" w:color="auto" w:sz="8" w:space="0"/>
              <w:right w:val="single" w:color="auto" w:sz="8" w:space="0"/>
            </w:tcBorders>
            <w:shd w:val="clear"/>
            <w:noWrap/>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0</w:t>
            </w:r>
          </w:p>
        </w:tc>
        <w:tc>
          <w:tcPr>
            <w:tcW w:w="1713" w:type="dxa"/>
            <w:tcBorders>
              <w:top w:val="nil"/>
              <w:left w:val="nil"/>
              <w:bottom w:val="single" w:color="auto" w:sz="8" w:space="0"/>
              <w:right w:val="single" w:color="auto" w:sz="8" w:space="0"/>
            </w:tcBorders>
            <w:shd w:val="clear"/>
            <w:noWrap/>
            <w:tcMar>
              <w:left w:w="108" w:type="dxa"/>
              <w:right w:w="108" w:type="dxa"/>
            </w:tcMar>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0</w:t>
            </w:r>
          </w:p>
        </w:tc>
        <w:tc>
          <w:tcPr>
            <w:tcW w:w="1881" w:type="dxa"/>
            <w:tcBorders>
              <w:top w:val="nil"/>
              <w:left w:val="nil"/>
              <w:bottom w:val="single" w:color="auto" w:sz="8" w:space="0"/>
              <w:right w:val="single" w:color="auto" w:sz="8" w:space="0"/>
            </w:tcBorders>
            <w:shd w:val="clear"/>
            <w:noWrap/>
            <w:tcMar>
              <w:left w:w="108" w:type="dxa"/>
              <w:right w:w="108" w:type="dxa"/>
            </w:tcMar>
            <w:vAlign w:val="top"/>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2"/>
                <w:sz w:val="20"/>
                <w:szCs w:val="20"/>
                <w:bdr w:val="none" w:color="auto" w:sz="0" w:space="0"/>
                <w:lang w:val="en-US" w:eastAsia="zh-CN" w:bidi="ar"/>
              </w:rPr>
              <w:t>0</w:t>
            </w:r>
          </w:p>
        </w:tc>
      </w:tr>
      <w:tr>
        <w:tblPrEx>
          <w:tblCellMar>
            <w:top w:w="0" w:type="dxa"/>
            <w:left w:w="0" w:type="dxa"/>
            <w:bottom w:w="0" w:type="dxa"/>
            <w:right w:w="0" w:type="dxa"/>
          </w:tblCellMar>
        </w:tblPrEx>
        <w:trPr>
          <w:trHeight w:val="397"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第二十条第（八）项</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信息内容</w:t>
            </w:r>
          </w:p>
        </w:tc>
        <w:tc>
          <w:tcPr>
            <w:tcW w:w="1896"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上一年项目数量</w:t>
            </w:r>
          </w:p>
        </w:tc>
        <w:tc>
          <w:tcPr>
            <w:tcW w:w="3594" w:type="dxa"/>
            <w:gridSpan w:val="2"/>
            <w:tcBorders>
              <w:top w:val="single" w:color="auto" w:sz="8" w:space="0"/>
              <w:left w:val="nil"/>
              <w:bottom w:val="single" w:color="auto" w:sz="8" w:space="0"/>
              <w:right w:val="single" w:color="000000"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本年增/减</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行政事业性收费</w:t>
            </w:r>
          </w:p>
        </w:tc>
        <w:tc>
          <w:tcPr>
            <w:tcW w:w="1896"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3594" w:type="dxa"/>
            <w:gridSpan w:val="2"/>
            <w:tcBorders>
              <w:top w:val="nil"/>
              <w:left w:val="nil"/>
              <w:bottom w:val="single" w:color="auto" w:sz="8" w:space="0"/>
              <w:right w:val="single" w:color="000000"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trHeight w:val="397" w:hRule="atLeast"/>
          <w:jc w:val="center"/>
        </w:trPr>
        <w:tc>
          <w:tcPr>
            <w:tcW w:w="8140" w:type="dxa"/>
            <w:gridSpan w:val="4"/>
            <w:tcBorders>
              <w:top w:val="nil"/>
              <w:left w:val="single" w:color="auto" w:sz="8" w:space="0"/>
              <w:bottom w:val="single" w:color="auto" w:sz="8" w:space="0"/>
              <w:right w:val="single" w:color="auto" w:sz="8" w:space="0"/>
            </w:tcBorders>
            <w:shd w:val="clear" w:color="auto" w:fill="C6D9F1"/>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第二十条第（九）项</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信息内容</w:t>
            </w:r>
          </w:p>
        </w:tc>
        <w:tc>
          <w:tcPr>
            <w:tcW w:w="1896"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采购项目数量</w:t>
            </w:r>
          </w:p>
        </w:tc>
        <w:tc>
          <w:tcPr>
            <w:tcW w:w="3594" w:type="dxa"/>
            <w:gridSpan w:val="2"/>
            <w:tcBorders>
              <w:top w:val="single" w:color="auto" w:sz="8" w:space="0"/>
              <w:left w:val="nil"/>
              <w:bottom w:val="single" w:color="auto" w:sz="8" w:space="0"/>
              <w:right w:val="single" w:color="000000"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采购总金额</w:t>
            </w:r>
          </w:p>
        </w:tc>
      </w:tr>
      <w:tr>
        <w:tblPrEx>
          <w:tblCellMar>
            <w:top w:w="0" w:type="dxa"/>
            <w:left w:w="0" w:type="dxa"/>
            <w:bottom w:w="0" w:type="dxa"/>
            <w:right w:w="0" w:type="dxa"/>
          </w:tblCellMar>
        </w:tblPrEx>
        <w:trPr>
          <w:trHeight w:val="397" w:hRule="atLeast"/>
          <w:jc w:val="center"/>
        </w:trPr>
        <w:tc>
          <w:tcPr>
            <w:tcW w:w="2650" w:type="dxa"/>
            <w:tcBorders>
              <w:top w:val="nil"/>
              <w:left w:val="single" w:color="auto" w:sz="8" w:space="0"/>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政府集中采购</w:t>
            </w:r>
          </w:p>
        </w:tc>
        <w:tc>
          <w:tcPr>
            <w:tcW w:w="1896" w:type="dxa"/>
            <w:tcBorders>
              <w:top w:val="nil"/>
              <w:left w:val="nil"/>
              <w:bottom w:val="single" w:color="auto" w:sz="8" w:space="0"/>
              <w:right w:val="single" w:color="auto"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3594" w:type="dxa"/>
            <w:gridSpan w:val="2"/>
            <w:tcBorders>
              <w:top w:val="nil"/>
              <w:left w:val="nil"/>
              <w:bottom w:val="single" w:color="auto" w:sz="8" w:space="0"/>
              <w:right w:val="single" w:color="000000" w:sz="8" w:space="0"/>
            </w:tcBorders>
            <w:shd w:val="clear"/>
            <w:noWrap/>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bl>
    <w:p>
      <w:pPr>
        <w:keepNext w:val="0"/>
        <w:keepLines w:val="0"/>
        <w:pageBreakBefore w:val="0"/>
        <w:widowControl/>
        <w:numPr>
          <w:numId w:val="0"/>
        </w:numPr>
        <w:suppressLineNumbers w:val="0"/>
        <w:kinsoku/>
        <w:wordWrap/>
        <w:overflowPunct/>
        <w:topLinePunct w:val="0"/>
        <w:autoSpaceDN/>
        <w:bidi w:val="0"/>
        <w:adjustRightInd/>
        <w:spacing w:before="0" w:beforeAutospacing="0" w:after="0" w:afterAutospacing="0" w:line="520" w:lineRule="exact"/>
        <w:ind w:right="0" w:firstLine="640" w:firstLineChars="200"/>
        <w:jc w:val="left"/>
        <w:textAlignment w:val="auto"/>
        <w:rPr>
          <w:sz w:val="32"/>
          <w:szCs w:val="32"/>
        </w:rPr>
      </w:pPr>
      <w:r>
        <w:rPr>
          <w:rFonts w:hint="eastAsia" w:ascii="黑体" w:hAnsi="宋体" w:eastAsia="黑体" w:cs="黑体"/>
          <w:kern w:val="2"/>
          <w:sz w:val="32"/>
          <w:szCs w:val="32"/>
          <w:lang w:val="en-US" w:eastAsia="zh-CN" w:bidi="ar"/>
        </w:rPr>
        <w:t>三、收到和处理政府信息公开申请情况</w:t>
      </w:r>
    </w:p>
    <w:tbl>
      <w:tblPr>
        <w:tblW w:w="9071" w:type="dxa"/>
        <w:jc w:val="center"/>
        <w:shd w:val="clear"/>
        <w:tblLayout w:type="fixed"/>
        <w:tblCellMar>
          <w:top w:w="0" w:type="dxa"/>
          <w:left w:w="0" w:type="dxa"/>
          <w:bottom w:w="0" w:type="dxa"/>
          <w:right w:w="0" w:type="dxa"/>
        </w:tblCellMar>
      </w:tblPr>
      <w:tblGrid>
        <w:gridCol w:w="494"/>
        <w:gridCol w:w="855"/>
        <w:gridCol w:w="2275"/>
        <w:gridCol w:w="680"/>
        <w:gridCol w:w="765"/>
        <w:gridCol w:w="765"/>
        <w:gridCol w:w="825"/>
        <w:gridCol w:w="990"/>
        <w:gridCol w:w="720"/>
        <w:gridCol w:w="702"/>
      </w:tblGrid>
      <w:tr>
        <w:tblPrEx>
          <w:shd w:val="clear"/>
          <w:tblCellMar>
            <w:top w:w="0" w:type="dxa"/>
            <w:left w:w="0" w:type="dxa"/>
            <w:bottom w:w="0" w:type="dxa"/>
            <w:right w:w="0" w:type="dxa"/>
          </w:tblCellMar>
        </w:tblPrEx>
        <w:trPr>
          <w:jc w:val="center"/>
        </w:trPr>
        <w:tc>
          <w:tcPr>
            <w:tcW w:w="3624" w:type="dxa"/>
            <w:gridSpan w:val="3"/>
            <w:vMerge w:val="restart"/>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（本列数据的勾稽关系为：第一项加第二项之和，等于第三项加第四项之和）</w:t>
            </w:r>
          </w:p>
        </w:tc>
        <w:tc>
          <w:tcPr>
            <w:tcW w:w="5447" w:type="dxa"/>
            <w:gridSpan w:val="7"/>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申请人情况</w:t>
            </w:r>
          </w:p>
        </w:tc>
      </w:tr>
      <w:tr>
        <w:tblPrEx>
          <w:tblCellMar>
            <w:top w:w="0" w:type="dxa"/>
            <w:left w:w="0" w:type="dxa"/>
            <w:bottom w:w="0" w:type="dxa"/>
            <w:right w:w="0" w:type="dxa"/>
          </w:tblCellMar>
        </w:tblPrEx>
        <w:trPr>
          <w:jc w:val="center"/>
        </w:trPr>
        <w:tc>
          <w:tcPr>
            <w:tcW w:w="3624" w:type="dxa"/>
            <w:gridSpan w:val="3"/>
            <w:vMerge w:val="continue"/>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680"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自然人</w:t>
            </w:r>
          </w:p>
        </w:tc>
        <w:tc>
          <w:tcPr>
            <w:tcW w:w="4065"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法人或其他组织</w:t>
            </w:r>
          </w:p>
        </w:tc>
        <w:tc>
          <w:tcPr>
            <w:tcW w:w="702"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总计</w:t>
            </w:r>
          </w:p>
        </w:tc>
      </w:tr>
      <w:tr>
        <w:tblPrEx>
          <w:tblCellMar>
            <w:top w:w="0" w:type="dxa"/>
            <w:left w:w="0" w:type="dxa"/>
            <w:bottom w:w="0" w:type="dxa"/>
            <w:right w:w="0" w:type="dxa"/>
          </w:tblCellMar>
        </w:tblPrEx>
        <w:trPr>
          <w:jc w:val="center"/>
        </w:trPr>
        <w:tc>
          <w:tcPr>
            <w:tcW w:w="3624" w:type="dxa"/>
            <w:gridSpan w:val="3"/>
            <w:vMerge w:val="continue"/>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680"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商业企业</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科研机构</w:t>
            </w:r>
          </w:p>
        </w:tc>
        <w:tc>
          <w:tcPr>
            <w:tcW w:w="82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社会公益组织</w:t>
            </w:r>
          </w:p>
        </w:tc>
        <w:tc>
          <w:tcPr>
            <w:tcW w:w="99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法律服务机构</w:t>
            </w:r>
          </w:p>
        </w:tc>
        <w:tc>
          <w:tcPr>
            <w:tcW w:w="720"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其他</w:t>
            </w:r>
          </w:p>
        </w:tc>
        <w:tc>
          <w:tcPr>
            <w:tcW w:w="702"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r>
      <w:tr>
        <w:tblPrEx>
          <w:tblCellMar>
            <w:top w:w="0" w:type="dxa"/>
            <w:left w:w="0" w:type="dxa"/>
            <w:bottom w:w="0" w:type="dxa"/>
            <w:right w:w="0" w:type="dxa"/>
          </w:tblCellMar>
        </w:tblPrEx>
        <w:trPr>
          <w:jc w:val="center"/>
        </w:trPr>
        <w:tc>
          <w:tcPr>
            <w:tcW w:w="3624" w:type="dxa"/>
            <w:gridSpan w:val="3"/>
            <w:tcBorders>
              <w:top w:val="nil"/>
              <w:left w:val="single" w:color="auto" w:sz="8" w:space="0"/>
              <w:bottom w:val="single" w:color="auto" w:sz="8" w:space="0"/>
              <w:right w:val="single" w:color="auto" w:sz="8" w:space="0"/>
            </w:tcBorders>
            <w:shd w:val="cle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一、本年新收政府信息公开申请数量</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3624" w:type="dxa"/>
            <w:gridSpan w:val="3"/>
            <w:tcBorders>
              <w:top w:val="nil"/>
              <w:left w:val="single" w:color="auto" w:sz="8" w:space="0"/>
              <w:bottom w:val="single" w:color="auto" w:sz="8" w:space="0"/>
              <w:right w:val="single" w:color="auto" w:sz="8" w:space="0"/>
            </w:tcBorders>
            <w:shd w:val="cle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二、上年结转政府信息公开申请数量</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restart"/>
            <w:tcBorders>
              <w:top w:val="nil"/>
              <w:left w:val="single" w:color="auto" w:sz="8" w:space="0"/>
              <w:bottom w:val="single" w:color="auto" w:sz="8" w:space="0"/>
              <w:right w:val="single" w:color="auto" w:sz="8" w:space="0"/>
            </w:tcBorders>
            <w:shd w:val="cle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三、本年度办理结果</w:t>
            </w:r>
          </w:p>
        </w:tc>
        <w:tc>
          <w:tcPr>
            <w:tcW w:w="3130" w:type="dxa"/>
            <w:gridSpan w:val="2"/>
            <w:tcBorders>
              <w:top w:val="nil"/>
              <w:left w:val="nil"/>
              <w:bottom w:val="single" w:color="auto" w:sz="8" w:space="0"/>
              <w:right w:val="single" w:color="auto" w:sz="8" w:space="0"/>
            </w:tcBorders>
            <w:shd w:val="cle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（一）予以公开</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3130" w:type="dxa"/>
            <w:gridSpan w:val="2"/>
            <w:tcBorders>
              <w:top w:val="nil"/>
              <w:left w:val="nil"/>
              <w:bottom w:val="single" w:color="auto" w:sz="8" w:space="0"/>
              <w:right w:val="single" w:color="auto" w:sz="8" w:space="0"/>
            </w:tcBorders>
            <w:shd w:val="cle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（二）部分公开（区分处理的，只计这一情形，不计其他情形）</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（三）不予公开</w:t>
            </w: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1.属于国家秘密</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2.其他法律行政法规禁止公开</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3.危及“三安全一稳定”</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4.保护第三方合法权益</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5.属于三类内部事务信息</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6.属于四类过程性信息</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7.属于行政执法案卷</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8.属于行政查询事项</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（四）无法提供</w:t>
            </w: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1.本机关不掌握相关政府信息</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2.没有现成信息需要另行制作</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3.补正后申请内容仍不明确</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（五）不予处理</w:t>
            </w: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1.信访举报投诉类申请</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2.重复申请</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3.要求提供公开出版物</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4.无正当理由大量反复申请</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855"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227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5.要求行政机关确认或重新出具已获取信息</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3130" w:type="dxa"/>
            <w:gridSpan w:val="2"/>
            <w:tcBorders>
              <w:top w:val="nil"/>
              <w:left w:val="nil"/>
              <w:bottom w:val="single" w:color="auto" w:sz="8" w:space="0"/>
              <w:right w:val="single" w:color="auto" w:sz="8" w:space="0"/>
            </w:tcBorders>
            <w:shd w:val="cle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（六）其他处理</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494" w:type="dxa"/>
            <w:vMerge w:val="continue"/>
            <w:tcBorders>
              <w:top w:val="nil"/>
              <w:left w:val="single" w:color="auto" w:sz="8" w:space="0"/>
              <w:bottom w:val="single" w:color="auto" w:sz="8" w:space="0"/>
              <w:right w:val="single" w:color="auto" w:sz="8" w:space="0"/>
            </w:tcBorders>
            <w:shd w:val="cle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3130" w:type="dxa"/>
            <w:gridSpan w:val="2"/>
            <w:tcBorders>
              <w:top w:val="nil"/>
              <w:left w:val="nil"/>
              <w:bottom w:val="single" w:color="auto" w:sz="8" w:space="0"/>
              <w:right w:val="single" w:color="auto" w:sz="8" w:space="0"/>
            </w:tcBorders>
            <w:shd w:val="cle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（七）总计</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r>
      <w:tr>
        <w:tblPrEx>
          <w:tblCellMar>
            <w:top w:w="0" w:type="dxa"/>
            <w:left w:w="0" w:type="dxa"/>
            <w:bottom w:w="0" w:type="dxa"/>
            <w:right w:w="0" w:type="dxa"/>
          </w:tblCellMar>
        </w:tblPrEx>
        <w:trPr>
          <w:jc w:val="center"/>
        </w:trPr>
        <w:tc>
          <w:tcPr>
            <w:tcW w:w="3624" w:type="dxa"/>
            <w:gridSpan w:val="3"/>
            <w:tcBorders>
              <w:top w:val="nil"/>
              <w:left w:val="single" w:color="auto" w:sz="8" w:space="0"/>
              <w:bottom w:val="single" w:color="auto" w:sz="8" w:space="0"/>
              <w:right w:val="single" w:color="auto" w:sz="8" w:space="0"/>
            </w:tcBorders>
            <w:shd w:val="cle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left"/>
              <w:textAlignment w:val="auto"/>
            </w:pPr>
            <w:r>
              <w:rPr>
                <w:rFonts w:hint="eastAsia" w:ascii="宋体" w:hAnsi="宋体" w:eastAsia="宋体" w:cs="宋体"/>
                <w:kern w:val="0"/>
                <w:sz w:val="20"/>
                <w:szCs w:val="20"/>
                <w:bdr w:val="none" w:color="auto" w:sz="0" w:space="0"/>
                <w:lang w:val="en-US" w:eastAsia="zh-CN" w:bidi="ar"/>
              </w:rPr>
              <w:t>四、结转下年度继续办理</w:t>
            </w:r>
          </w:p>
        </w:tc>
        <w:tc>
          <w:tcPr>
            <w:tcW w:w="68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6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82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99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2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702"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firstLine="200" w:firstLineChars="100"/>
              <w:jc w:val="left"/>
              <w:textAlignment w:val="auto"/>
            </w:pPr>
            <w:r>
              <w:rPr>
                <w:rFonts w:hint="eastAsia" w:ascii="宋体" w:hAnsi="宋体" w:eastAsia="宋体" w:cs="宋体"/>
                <w:kern w:val="0"/>
                <w:sz w:val="20"/>
                <w:szCs w:val="20"/>
                <w:bdr w:val="none" w:color="auto" w:sz="0" w:space="0"/>
                <w:lang w:val="en-US" w:eastAsia="zh-CN" w:bidi="ar"/>
              </w:rPr>
              <w:t>0</w:t>
            </w:r>
          </w:p>
        </w:tc>
      </w:tr>
    </w:tbl>
    <w:p>
      <w:pPr>
        <w:keepNext w:val="0"/>
        <w:keepLines w:val="0"/>
        <w:pageBreakBefore w:val="0"/>
        <w:widowControl/>
        <w:numPr>
          <w:numId w:val="0"/>
        </w:numPr>
        <w:suppressLineNumbers w:val="0"/>
        <w:kinsoku/>
        <w:wordWrap/>
        <w:overflowPunct/>
        <w:topLinePunct w:val="0"/>
        <w:autoSpaceDN/>
        <w:bidi w:val="0"/>
        <w:adjustRightInd/>
        <w:spacing w:before="0" w:beforeAutospacing="0" w:after="0" w:afterAutospacing="0" w:line="520" w:lineRule="exact"/>
        <w:ind w:left="0" w:leftChars="0" w:right="0" w:firstLine="640" w:firstLineChars="200"/>
        <w:jc w:val="left"/>
        <w:textAlignment w:val="auto"/>
        <w:rPr>
          <w:sz w:val="32"/>
          <w:szCs w:val="32"/>
        </w:rPr>
      </w:pPr>
      <w:r>
        <w:rPr>
          <w:rFonts w:hint="eastAsia" w:ascii="黑体" w:hAnsi="宋体" w:eastAsia="黑体" w:cs="黑体"/>
          <w:kern w:val="2"/>
          <w:sz w:val="32"/>
          <w:szCs w:val="32"/>
          <w:lang w:val="en-US" w:eastAsia="zh-CN" w:bidi="ar"/>
        </w:rPr>
        <w:t xml:space="preserve"> 四、政府信息公开行政复议和行政诉讼情况</w:t>
      </w:r>
    </w:p>
    <w:tbl>
      <w:tblPr>
        <w:tblW w:w="9071" w:type="dxa"/>
        <w:jc w:val="center"/>
        <w:shd w:val="clear"/>
        <w:tblLayout w:type="fixed"/>
        <w:tblCellMar>
          <w:top w:w="0" w:type="dxa"/>
          <w:left w:w="0" w:type="dxa"/>
          <w:bottom w:w="0" w:type="dxa"/>
          <w:right w:w="0" w:type="dxa"/>
        </w:tblCellMar>
      </w:tblPr>
      <w:tblGrid>
        <w:gridCol w:w="604"/>
        <w:gridCol w:w="604"/>
        <w:gridCol w:w="604"/>
        <w:gridCol w:w="604"/>
        <w:gridCol w:w="658"/>
        <w:gridCol w:w="550"/>
        <w:gridCol w:w="605"/>
        <w:gridCol w:w="605"/>
        <w:gridCol w:w="605"/>
        <w:gridCol w:w="605"/>
        <w:gridCol w:w="605"/>
        <w:gridCol w:w="605"/>
        <w:gridCol w:w="605"/>
        <w:gridCol w:w="606"/>
        <w:gridCol w:w="606"/>
      </w:tblGrid>
      <w:tr>
        <w:tblPrEx>
          <w:tblCellMar>
            <w:top w:w="0" w:type="dxa"/>
            <w:left w:w="0" w:type="dxa"/>
            <w:bottom w:w="0" w:type="dxa"/>
            <w:right w:w="0" w:type="dxa"/>
          </w:tblCellMar>
        </w:tblPrEx>
        <w:trPr>
          <w:trHeight w:val="404" w:hRule="atLeast"/>
          <w:jc w:val="center"/>
        </w:trPr>
        <w:tc>
          <w:tcPr>
            <w:tcW w:w="3074" w:type="dxa"/>
            <w:gridSpan w:val="5"/>
            <w:tcBorders>
              <w:top w:val="single" w:color="auto" w:sz="8" w:space="0"/>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行政复议</w:t>
            </w:r>
          </w:p>
        </w:tc>
        <w:tc>
          <w:tcPr>
            <w:tcW w:w="5997" w:type="dxa"/>
            <w:gridSpan w:val="10"/>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行政诉讼</w:t>
            </w:r>
          </w:p>
        </w:tc>
      </w:tr>
      <w:tr>
        <w:tblPrEx>
          <w:tblCellMar>
            <w:top w:w="0" w:type="dxa"/>
            <w:left w:w="0" w:type="dxa"/>
            <w:bottom w:w="0" w:type="dxa"/>
            <w:right w:w="0" w:type="dxa"/>
          </w:tblCellMar>
        </w:tblPrEx>
        <w:trPr>
          <w:jc w:val="center"/>
        </w:trPr>
        <w:tc>
          <w:tcPr>
            <w:tcW w:w="604" w:type="dxa"/>
            <w:vMerge w:val="restart"/>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结果维持</w:t>
            </w:r>
          </w:p>
        </w:tc>
        <w:tc>
          <w:tcPr>
            <w:tcW w:w="604" w:type="dxa"/>
            <w:vMerge w:val="restart"/>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结果纠正</w:t>
            </w:r>
          </w:p>
        </w:tc>
        <w:tc>
          <w:tcPr>
            <w:tcW w:w="604"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其他结果</w:t>
            </w:r>
          </w:p>
        </w:tc>
        <w:tc>
          <w:tcPr>
            <w:tcW w:w="604"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尚未审结</w:t>
            </w:r>
          </w:p>
        </w:tc>
        <w:tc>
          <w:tcPr>
            <w:tcW w:w="658" w:type="dxa"/>
            <w:vMerge w:val="restart"/>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总计</w:t>
            </w:r>
          </w:p>
        </w:tc>
        <w:tc>
          <w:tcPr>
            <w:tcW w:w="2970"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未经复议直接起诉</w:t>
            </w:r>
          </w:p>
        </w:tc>
        <w:tc>
          <w:tcPr>
            <w:tcW w:w="3027" w:type="dxa"/>
            <w:gridSpan w:val="5"/>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复议后起诉</w:t>
            </w:r>
          </w:p>
        </w:tc>
      </w:tr>
      <w:tr>
        <w:tblPrEx>
          <w:tblCellMar>
            <w:top w:w="0" w:type="dxa"/>
            <w:left w:w="0" w:type="dxa"/>
            <w:bottom w:w="0" w:type="dxa"/>
            <w:right w:w="0" w:type="dxa"/>
          </w:tblCellMar>
        </w:tblPrEx>
        <w:trPr>
          <w:jc w:val="center"/>
        </w:trPr>
        <w:tc>
          <w:tcPr>
            <w:tcW w:w="604" w:type="dxa"/>
            <w:vMerge w:val="continue"/>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604" w:type="dxa"/>
            <w:vMerge w:val="continue"/>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604"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658" w:type="dxa"/>
            <w:vMerge w:val="continue"/>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kinsoku/>
              <w:wordWrap/>
              <w:overflowPunct/>
              <w:topLinePunct w:val="0"/>
              <w:autoSpaceDN/>
              <w:bidi w:val="0"/>
              <w:adjustRightInd/>
              <w:spacing w:beforeAutospacing="0" w:afterAutospacing="0" w:line="520" w:lineRule="exact"/>
              <w:textAlignment w:val="auto"/>
              <w:rPr>
                <w:rFonts w:hint="eastAsia" w:ascii="宋体"/>
                <w:sz w:val="24"/>
                <w:szCs w:val="24"/>
              </w:rPr>
            </w:pPr>
          </w:p>
        </w:tc>
        <w:tc>
          <w:tcPr>
            <w:tcW w:w="55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结果维持</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结果纠正</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其他结果</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尚未审结</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总计</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结果维持</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结果纠正</w:t>
            </w:r>
          </w:p>
        </w:tc>
        <w:tc>
          <w:tcPr>
            <w:tcW w:w="605"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其他结果</w:t>
            </w:r>
          </w:p>
        </w:tc>
        <w:tc>
          <w:tcPr>
            <w:tcW w:w="606"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尚未审结</w:t>
            </w:r>
          </w:p>
        </w:tc>
        <w:tc>
          <w:tcPr>
            <w:tcW w:w="606" w:type="dxa"/>
            <w:tcBorders>
              <w:top w:val="single" w:color="auto" w:sz="8" w:space="0"/>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color w:val="000000"/>
                <w:kern w:val="0"/>
                <w:sz w:val="20"/>
                <w:szCs w:val="20"/>
                <w:bdr w:val="none" w:color="auto" w:sz="0" w:space="0"/>
                <w:lang w:val="en-US" w:eastAsia="zh-CN" w:bidi="ar"/>
              </w:rPr>
              <w:t>总计</w:t>
            </w:r>
          </w:p>
        </w:tc>
      </w:tr>
      <w:tr>
        <w:tblPrEx>
          <w:tblCellMar>
            <w:top w:w="0" w:type="dxa"/>
            <w:left w:w="0" w:type="dxa"/>
            <w:bottom w:w="0" w:type="dxa"/>
            <w:right w:w="0" w:type="dxa"/>
          </w:tblCellMar>
        </w:tblPrEx>
        <w:trPr>
          <w:trHeight w:val="639" w:hRule="atLeast"/>
          <w:jc w:val="center"/>
        </w:trPr>
        <w:tc>
          <w:tcPr>
            <w:tcW w:w="604" w:type="dxa"/>
            <w:tcBorders>
              <w:top w:val="nil"/>
              <w:left w:val="single" w:color="auto" w:sz="8" w:space="0"/>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4"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58"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550"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5"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jc w:val="center"/>
              <w:textAlignment w:val="auto"/>
            </w:pPr>
            <w:r>
              <w:rPr>
                <w:rFonts w:hint="eastAsia" w:ascii="宋体" w:hAnsi="宋体" w:eastAsia="宋体" w:cs="宋体"/>
                <w:kern w:val="0"/>
                <w:sz w:val="20"/>
                <w:szCs w:val="20"/>
                <w:bdr w:val="none" w:color="auto" w:sz="0" w:space="0"/>
                <w:lang w:val="en-US" w:eastAsia="zh-CN" w:bidi="ar"/>
              </w:rPr>
              <w:t>0</w:t>
            </w:r>
          </w:p>
        </w:tc>
        <w:tc>
          <w:tcPr>
            <w:tcW w:w="606" w:type="dxa"/>
            <w:tcBorders>
              <w:top w:val="nil"/>
              <w:left w:val="nil"/>
              <w:bottom w:val="single" w:color="auto" w:sz="8" w:space="0"/>
              <w:right w:val="single" w:color="auto" w:sz="8" w:space="0"/>
            </w:tcBorders>
            <w:shd w:val="clear"/>
            <w:tcMar>
              <w:left w:w="108" w:type="dxa"/>
              <w:right w:w="108" w:type="dxa"/>
            </w:tcMar>
            <w:vAlign w:val="center"/>
          </w:tcPr>
          <w:p>
            <w:pPr>
              <w:keepNext w:val="0"/>
              <w:keepLines w:val="0"/>
              <w:pageBreakBefore w:val="0"/>
              <w:widowControl/>
              <w:suppressLineNumbers w:val="0"/>
              <w:kinsoku/>
              <w:wordWrap/>
              <w:overflowPunct/>
              <w:topLinePunct w:val="0"/>
              <w:autoSpaceDE w:val="0"/>
              <w:autoSpaceDN/>
              <w:bidi w:val="0"/>
              <w:adjustRightInd/>
              <w:snapToGrid w:val="0"/>
              <w:spacing w:before="0" w:beforeAutospacing="0" w:after="0" w:afterAutospacing="0" w:line="520" w:lineRule="exact"/>
              <w:ind w:left="0" w:right="0" w:firstLine="210" w:firstLineChars="100"/>
              <w:jc w:val="left"/>
              <w:textAlignment w:val="auto"/>
              <w:rPr>
                <w:rFonts w:hint="eastAsia" w:eastAsiaTheme="minorEastAsia"/>
                <w:lang w:val="en-US" w:eastAsia="zh-CN"/>
              </w:rPr>
            </w:pPr>
            <w:r>
              <w:rPr>
                <w:rFonts w:hint="eastAsia"/>
                <w:lang w:val="en-US" w:eastAsia="zh-CN"/>
              </w:rPr>
              <w:t>0</w:t>
            </w:r>
          </w:p>
        </w:tc>
      </w:tr>
    </w:tbl>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right="0" w:firstLine="640" w:firstLineChars="200"/>
        <w:jc w:val="left"/>
        <w:textAlignment w:val="auto"/>
        <w:rPr>
          <w:sz w:val="32"/>
          <w:szCs w:val="32"/>
        </w:rPr>
      </w:pPr>
      <w:r>
        <w:rPr>
          <w:rFonts w:hint="eastAsia" w:ascii="黑体" w:hAnsi="宋体" w:eastAsia="黑体" w:cs="黑体"/>
          <w:kern w:val="2"/>
          <w:sz w:val="32"/>
          <w:szCs w:val="32"/>
          <w:lang w:val="en-US" w:eastAsia="zh-CN" w:bidi="ar"/>
        </w:rPr>
        <w:t>五、政府信息公开工作存在的主要问题及改进情况</w:t>
      </w:r>
    </w:p>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leftChars="0" w:right="0" w:firstLine="640" w:firstLineChars="200"/>
        <w:jc w:val="left"/>
        <w:textAlignment w:val="auto"/>
        <w:rPr>
          <w:rFonts w:hint="eastAsia" w:ascii="仿宋_GB2312" w:hAnsi="微软雅黑" w:eastAsia="仿宋_GB2312" w:cs="仿宋_GB2312"/>
          <w:i w:val="0"/>
          <w:caps w:val="0"/>
          <w:color w:val="2B2B2B"/>
          <w:spacing w:val="0"/>
          <w:sz w:val="32"/>
          <w:szCs w:val="32"/>
          <w:bdr w:val="none" w:color="auto" w:sz="0" w:space="0"/>
          <w:lang w:eastAsia="zh-CN"/>
        </w:rPr>
      </w:pPr>
      <w:r>
        <w:rPr>
          <w:rFonts w:ascii="仿宋_GB2312" w:hAnsi="微软雅黑" w:eastAsia="仿宋_GB2312" w:cs="仿宋_GB2312"/>
          <w:i w:val="0"/>
          <w:caps w:val="0"/>
          <w:color w:val="2B2B2B"/>
          <w:spacing w:val="0"/>
          <w:sz w:val="32"/>
          <w:szCs w:val="32"/>
          <w:bdr w:val="none" w:color="auto" w:sz="0" w:space="0"/>
        </w:rPr>
        <w:t>2019</w:t>
      </w:r>
      <w:r>
        <w:rPr>
          <w:rFonts w:hint="eastAsia" w:ascii="仿宋_GB2312" w:hAnsi="微软雅黑" w:eastAsia="仿宋_GB2312" w:cs="仿宋_GB2312"/>
          <w:i w:val="0"/>
          <w:caps w:val="0"/>
          <w:color w:val="2B2B2B"/>
          <w:spacing w:val="0"/>
          <w:sz w:val="32"/>
          <w:szCs w:val="32"/>
          <w:bdr w:val="none" w:color="auto" w:sz="0" w:space="0"/>
        </w:rPr>
        <w:t>年，</w:t>
      </w:r>
      <w:r>
        <w:rPr>
          <w:rFonts w:hint="eastAsia" w:ascii="仿宋_GB2312" w:hAnsi="微软雅黑" w:eastAsia="仿宋_GB2312" w:cs="仿宋_GB2312"/>
          <w:i w:val="0"/>
          <w:caps w:val="0"/>
          <w:color w:val="2B2B2B"/>
          <w:spacing w:val="0"/>
          <w:sz w:val="32"/>
          <w:szCs w:val="32"/>
          <w:bdr w:val="none" w:color="auto" w:sz="0" w:space="0"/>
          <w:lang w:eastAsia="zh-CN"/>
        </w:rPr>
        <w:t>在市委市政府的正确领导下，</w:t>
      </w:r>
      <w:r>
        <w:rPr>
          <w:rFonts w:hint="eastAsia" w:ascii="仿宋_GB2312" w:hAnsi="微软雅黑" w:eastAsia="仿宋_GB2312" w:cs="仿宋_GB2312"/>
          <w:i w:val="0"/>
          <w:caps w:val="0"/>
          <w:color w:val="2B2B2B"/>
          <w:spacing w:val="0"/>
          <w:sz w:val="32"/>
          <w:szCs w:val="32"/>
          <w:bdr w:val="none" w:color="auto" w:sz="0" w:space="0"/>
        </w:rPr>
        <w:t>我局政府信息公开</w:t>
      </w:r>
      <w:r>
        <w:rPr>
          <w:rFonts w:hint="eastAsia" w:ascii="仿宋_GB2312" w:hAnsi="微软雅黑" w:eastAsia="仿宋_GB2312" w:cs="仿宋_GB2312"/>
          <w:i w:val="0"/>
          <w:caps w:val="0"/>
          <w:color w:val="2B2B2B"/>
          <w:spacing w:val="0"/>
          <w:sz w:val="32"/>
          <w:szCs w:val="32"/>
          <w:bdr w:val="none" w:color="auto" w:sz="0" w:space="0"/>
          <w:lang w:eastAsia="zh-CN"/>
        </w:rPr>
        <w:t>取得了一定成效，但在规范工作流程、优化服务实效、提升能力水平等方面还存在一定的不足和问题。下一步，</w:t>
      </w:r>
      <w:r>
        <w:rPr>
          <w:rFonts w:hint="eastAsia" w:ascii="仿宋_GB2312" w:hAnsi="微软雅黑" w:eastAsia="仿宋_GB2312" w:cs="仿宋_GB2312"/>
          <w:i w:val="0"/>
          <w:caps w:val="0"/>
          <w:color w:val="2B2B2B"/>
          <w:spacing w:val="0"/>
          <w:sz w:val="32"/>
          <w:szCs w:val="32"/>
          <w:bdr w:val="none" w:color="auto" w:sz="0" w:space="0"/>
        </w:rPr>
        <w:t>我们将进一步</w:t>
      </w:r>
      <w:r>
        <w:rPr>
          <w:rFonts w:hint="eastAsia" w:ascii="仿宋_GB2312" w:hAnsi="微软雅黑" w:eastAsia="仿宋_GB2312" w:cs="仿宋_GB2312"/>
          <w:i w:val="0"/>
          <w:caps w:val="0"/>
          <w:color w:val="2B2B2B"/>
          <w:spacing w:val="0"/>
          <w:sz w:val="32"/>
          <w:szCs w:val="32"/>
          <w:bdr w:val="none" w:color="auto" w:sz="0" w:space="0"/>
          <w:lang w:eastAsia="zh-CN"/>
        </w:rPr>
        <w:t>加强政府信息公开工作制度建设，严格工作标准，规范工作流程</w:t>
      </w:r>
      <w:r>
        <w:rPr>
          <w:rFonts w:hint="eastAsia" w:ascii="仿宋_GB2312" w:hAnsi="微软雅黑" w:eastAsia="仿宋_GB2312" w:cs="仿宋_GB2312"/>
          <w:i w:val="0"/>
          <w:caps w:val="0"/>
          <w:color w:val="2B2B2B"/>
          <w:spacing w:val="0"/>
          <w:sz w:val="32"/>
          <w:szCs w:val="32"/>
          <w:bdr w:val="none" w:color="auto" w:sz="0" w:space="0"/>
        </w:rPr>
        <w:t>，对各类信息做到及时清理和更新，严格按照规定的内容、程序、形式和时限进行公开，切实保障社会公众的知情权、参与权和监督权。</w:t>
      </w:r>
      <w:r>
        <w:rPr>
          <w:rFonts w:hint="eastAsia" w:ascii="仿宋_GB2312" w:hAnsi="微软雅黑" w:eastAsia="仿宋_GB2312" w:cs="仿宋_GB2312"/>
          <w:i w:val="0"/>
          <w:caps w:val="0"/>
          <w:color w:val="2B2B2B"/>
          <w:spacing w:val="0"/>
          <w:sz w:val="32"/>
          <w:szCs w:val="32"/>
          <w:bdr w:val="none" w:color="auto" w:sz="0" w:space="0"/>
          <w:lang w:eastAsia="zh-CN"/>
        </w:rPr>
        <w:t>进一步提升司法行政为民服务实效，</w:t>
      </w:r>
      <w:r>
        <w:rPr>
          <w:rFonts w:hint="eastAsia" w:ascii="仿宋_GB2312" w:hAnsi="微软雅黑" w:eastAsia="仿宋_GB2312" w:cs="仿宋_GB2312"/>
          <w:i w:val="0"/>
          <w:caps w:val="0"/>
          <w:color w:val="2B2B2B"/>
          <w:spacing w:val="0"/>
          <w:sz w:val="32"/>
          <w:szCs w:val="32"/>
        </w:rPr>
        <w:t>紧</w:t>
      </w:r>
      <w:r>
        <w:rPr>
          <w:rFonts w:hint="eastAsia" w:ascii="仿宋_GB2312" w:hAnsi="微软雅黑" w:eastAsia="仿宋_GB2312" w:cs="仿宋_GB2312"/>
          <w:i w:val="0"/>
          <w:caps w:val="0"/>
          <w:color w:val="2B2B2B"/>
          <w:spacing w:val="0"/>
          <w:sz w:val="32"/>
          <w:szCs w:val="32"/>
          <w:lang w:eastAsia="zh-CN"/>
        </w:rPr>
        <w:t>扣打造“让党放心，让人民满意模范机关”总定位</w:t>
      </w:r>
      <w:r>
        <w:rPr>
          <w:rFonts w:hint="eastAsia" w:ascii="仿宋_GB2312" w:hAnsi="微软雅黑" w:eastAsia="仿宋_GB2312" w:cs="仿宋_GB2312"/>
          <w:i w:val="0"/>
          <w:caps w:val="0"/>
          <w:color w:val="2B2B2B"/>
          <w:spacing w:val="0"/>
          <w:sz w:val="32"/>
          <w:szCs w:val="32"/>
        </w:rPr>
        <w:t>，进一步优化司法</w:t>
      </w:r>
      <w:r>
        <w:rPr>
          <w:rFonts w:hint="eastAsia" w:ascii="仿宋_GB2312" w:hAnsi="微软雅黑" w:eastAsia="仿宋_GB2312" w:cs="仿宋_GB2312"/>
          <w:i w:val="0"/>
          <w:caps w:val="0"/>
          <w:color w:val="2B2B2B"/>
          <w:spacing w:val="0"/>
          <w:sz w:val="32"/>
          <w:szCs w:val="32"/>
          <w:lang w:eastAsia="zh-CN"/>
        </w:rPr>
        <w:t>行政各项为民服务</w:t>
      </w:r>
      <w:r>
        <w:rPr>
          <w:rFonts w:hint="eastAsia" w:ascii="仿宋_GB2312" w:hAnsi="微软雅黑" w:eastAsia="仿宋_GB2312" w:cs="仿宋_GB2312"/>
          <w:i w:val="0"/>
          <w:caps w:val="0"/>
          <w:color w:val="2B2B2B"/>
          <w:spacing w:val="0"/>
          <w:sz w:val="32"/>
          <w:szCs w:val="32"/>
        </w:rPr>
        <w:t>业务办理流程，提高办事效率，认真落实限时办结制，压缩办事时限，最大限度地提供便捷高效</w:t>
      </w:r>
      <w:r>
        <w:rPr>
          <w:rFonts w:hint="eastAsia" w:ascii="仿宋_GB2312" w:hAnsi="微软雅黑" w:eastAsia="仿宋_GB2312" w:cs="仿宋_GB2312"/>
          <w:i w:val="0"/>
          <w:caps w:val="0"/>
          <w:color w:val="2B2B2B"/>
          <w:spacing w:val="0"/>
          <w:sz w:val="32"/>
          <w:szCs w:val="32"/>
          <w:lang w:eastAsia="zh-CN"/>
        </w:rPr>
        <w:t>的公共法律</w:t>
      </w:r>
      <w:r>
        <w:rPr>
          <w:rFonts w:hint="eastAsia" w:ascii="仿宋_GB2312" w:hAnsi="微软雅黑" w:eastAsia="仿宋_GB2312" w:cs="仿宋_GB2312"/>
          <w:i w:val="0"/>
          <w:caps w:val="0"/>
          <w:color w:val="2B2B2B"/>
          <w:spacing w:val="0"/>
          <w:sz w:val="32"/>
          <w:szCs w:val="32"/>
        </w:rPr>
        <w:t>服务。</w:t>
      </w:r>
      <w:r>
        <w:rPr>
          <w:rFonts w:hint="eastAsia" w:ascii="仿宋_GB2312" w:hAnsi="微软雅黑" w:eastAsia="仿宋_GB2312" w:cs="仿宋_GB2312"/>
          <w:i w:val="0"/>
          <w:caps w:val="0"/>
          <w:color w:val="2B2B2B"/>
          <w:spacing w:val="0"/>
          <w:sz w:val="32"/>
          <w:szCs w:val="32"/>
          <w:bdr w:val="none" w:color="auto" w:sz="0" w:space="0"/>
        </w:rPr>
        <w:t>进一步</w:t>
      </w:r>
      <w:r>
        <w:rPr>
          <w:rFonts w:hint="eastAsia" w:ascii="仿宋_GB2312" w:hAnsi="微软雅黑" w:eastAsia="仿宋_GB2312" w:cs="仿宋_GB2312"/>
          <w:i w:val="0"/>
          <w:caps w:val="0"/>
          <w:color w:val="2B2B2B"/>
          <w:spacing w:val="0"/>
          <w:sz w:val="32"/>
          <w:szCs w:val="32"/>
          <w:bdr w:val="none" w:color="auto" w:sz="0" w:space="0"/>
          <w:lang w:eastAsia="zh-CN"/>
        </w:rPr>
        <w:t>提高政府信息公开工作能力水平</w:t>
      </w:r>
      <w:r>
        <w:rPr>
          <w:rFonts w:hint="eastAsia" w:ascii="仿宋_GB2312" w:hAnsi="微软雅黑" w:eastAsia="仿宋_GB2312" w:cs="仿宋_GB2312"/>
          <w:i w:val="0"/>
          <w:caps w:val="0"/>
          <w:color w:val="2B2B2B"/>
          <w:spacing w:val="0"/>
          <w:sz w:val="32"/>
          <w:szCs w:val="32"/>
          <w:bdr w:val="none" w:color="auto" w:sz="0" w:space="0"/>
        </w:rPr>
        <w:t>。加大</w:t>
      </w:r>
      <w:r>
        <w:rPr>
          <w:rFonts w:hint="eastAsia" w:ascii="仿宋_GB2312" w:hAnsi="微软雅黑" w:eastAsia="仿宋_GB2312" w:cs="仿宋_GB2312"/>
          <w:i w:val="0"/>
          <w:caps w:val="0"/>
          <w:color w:val="2B2B2B"/>
          <w:spacing w:val="0"/>
          <w:sz w:val="32"/>
          <w:szCs w:val="32"/>
          <w:bdr w:val="none" w:color="auto" w:sz="0" w:space="0"/>
          <w:lang w:eastAsia="zh-CN"/>
        </w:rPr>
        <w:t>宣传培训力度</w:t>
      </w:r>
      <w:r>
        <w:rPr>
          <w:rFonts w:hint="eastAsia" w:ascii="仿宋_GB2312" w:hAnsi="微软雅黑" w:eastAsia="仿宋_GB2312" w:cs="仿宋_GB2312"/>
          <w:i w:val="0"/>
          <w:caps w:val="0"/>
          <w:color w:val="2B2B2B"/>
          <w:spacing w:val="0"/>
          <w:sz w:val="32"/>
          <w:szCs w:val="32"/>
          <w:bdr w:val="none" w:color="auto" w:sz="0" w:space="0"/>
        </w:rPr>
        <w:t>，增强系统人员的公开意识，使政务公开与业务工作同推进同落实</w:t>
      </w:r>
      <w:r>
        <w:rPr>
          <w:rFonts w:hint="eastAsia" w:ascii="仿宋_GB2312" w:hAnsi="微软雅黑" w:eastAsia="仿宋_GB2312" w:cs="仿宋_GB2312"/>
          <w:i w:val="0"/>
          <w:caps w:val="0"/>
          <w:color w:val="2B2B2B"/>
          <w:spacing w:val="0"/>
          <w:sz w:val="32"/>
          <w:szCs w:val="32"/>
          <w:bdr w:val="none" w:color="auto" w:sz="0" w:space="0"/>
          <w:lang w:eastAsia="zh-CN"/>
        </w:rPr>
        <w:t>，加强队伍建设，配齐配强人员力量，夯实政府信息公开工作基础，提升工作水平。</w:t>
      </w:r>
    </w:p>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leftChars="0" w:right="0" w:firstLine="640" w:firstLineChars="200"/>
        <w:jc w:val="left"/>
        <w:textAlignment w:val="auto"/>
        <w:rPr>
          <w:rFonts w:hint="eastAsia" w:ascii="黑体" w:hAnsi="宋体" w:eastAsia="黑体" w:cs="黑体"/>
          <w:kern w:val="2"/>
          <w:sz w:val="32"/>
          <w:szCs w:val="32"/>
          <w:lang w:val="en-US" w:eastAsia="zh-CN" w:bidi="ar"/>
        </w:rPr>
      </w:pPr>
      <w:r>
        <w:rPr>
          <w:rFonts w:hint="eastAsia" w:ascii="黑体" w:hAnsi="宋体" w:eastAsia="黑体" w:cs="黑体"/>
          <w:kern w:val="2"/>
          <w:sz w:val="32"/>
          <w:szCs w:val="32"/>
          <w:lang w:val="en-US" w:eastAsia="zh-CN" w:bidi="ar"/>
        </w:rPr>
        <w:t>六、其他需</w:t>
      </w:r>
      <w:r>
        <w:rPr>
          <w:rFonts w:hint="eastAsia" w:ascii="黑体" w:hAnsi="宋体" w:eastAsia="黑体" w:cs="黑体"/>
          <w:kern w:val="2"/>
          <w:sz w:val="32"/>
          <w:szCs w:val="32"/>
          <w:lang w:val="en-US" w:eastAsia="zh-CN" w:bidi="ar"/>
        </w:rPr>
        <w:t>要报告的事项</w:t>
      </w:r>
    </w:p>
    <w:p>
      <w:pPr>
        <w:keepNext w:val="0"/>
        <w:keepLines w:val="0"/>
        <w:pageBreakBefore w:val="0"/>
        <w:widowControl/>
        <w:suppressLineNumbers w:val="0"/>
        <w:kinsoku/>
        <w:wordWrap/>
        <w:overflowPunct/>
        <w:topLinePunct w:val="0"/>
        <w:autoSpaceDN/>
        <w:bidi w:val="0"/>
        <w:adjustRightInd/>
        <w:spacing w:before="0" w:beforeAutospacing="0" w:after="0" w:afterAutospacing="0" w:line="520" w:lineRule="exact"/>
        <w:ind w:left="0" w:leftChars="0" w:right="0" w:firstLine="640" w:firstLineChars="200"/>
        <w:jc w:val="left"/>
        <w:textAlignment w:val="auto"/>
        <w:rPr>
          <w:rFonts w:hint="eastAsia" w:ascii="仿宋_GB2312" w:hAnsi="微软雅黑" w:eastAsia="仿宋_GB2312" w:cs="仿宋_GB2312"/>
          <w:i w:val="0"/>
          <w:caps w:val="0"/>
          <w:color w:val="2B2B2B"/>
          <w:spacing w:val="0"/>
          <w:sz w:val="32"/>
          <w:szCs w:val="32"/>
          <w:lang w:eastAsia="zh-CN"/>
        </w:rPr>
      </w:pPr>
      <w:r>
        <w:rPr>
          <w:rFonts w:hint="eastAsia" w:ascii="仿宋_GB2312" w:hAnsi="微软雅黑" w:eastAsia="仿宋_GB2312" w:cs="仿宋_GB2312"/>
          <w:i w:val="0"/>
          <w:caps w:val="0"/>
          <w:color w:val="2B2B2B"/>
          <w:spacing w:val="0"/>
          <w:sz w:val="32"/>
          <w:szCs w:val="32"/>
          <w:lang w:val="en-US" w:eastAsia="zh-CN"/>
        </w:rPr>
        <w:t>2019年，市司法局共承办人大代表建议2件，政协委员提案1件。均在在规定期限内形成了答复意见，并送达建议人、提案人，建议提案全部办结，答复意见全部公开，见面率、答复率、满意率均为</w:t>
      </w:r>
      <w:r>
        <w:rPr>
          <w:rFonts w:hint="default" w:ascii="仿宋_GB2312" w:hAnsi="微软雅黑" w:eastAsia="仿宋_GB2312" w:cs="仿宋_GB2312"/>
          <w:i w:val="0"/>
          <w:caps w:val="0"/>
          <w:color w:val="2B2B2B"/>
          <w:spacing w:val="0"/>
          <w:sz w:val="32"/>
          <w:szCs w:val="32"/>
          <w:lang w:val="en-US" w:eastAsia="zh-CN"/>
        </w:rPr>
        <w:t>100%</w:t>
      </w:r>
      <w:r>
        <w:rPr>
          <w:rFonts w:hint="eastAsia" w:ascii="仿宋_GB2312" w:hAnsi="微软雅黑" w:eastAsia="仿宋_GB2312" w:cs="仿宋_GB2312"/>
          <w:i w:val="0"/>
          <w:caps w:val="0"/>
          <w:color w:val="2B2B2B"/>
          <w:spacing w:val="0"/>
          <w:sz w:val="32"/>
          <w:szCs w:val="32"/>
          <w:lang w:val="en-US" w:eastAsia="zh-CN"/>
        </w:rPr>
        <w:t>。</w:t>
      </w:r>
    </w:p>
    <w:p>
      <w:pPr>
        <w:keepNext w:val="0"/>
        <w:keepLines w:val="0"/>
        <w:pageBreakBefore w:val="0"/>
        <w:widowControl/>
        <w:suppressLineNumbers w:val="0"/>
        <w:kinsoku/>
        <w:wordWrap/>
        <w:overflowPunct/>
        <w:topLinePunct w:val="0"/>
        <w:autoSpaceDN/>
        <w:bidi w:val="0"/>
        <w:adjustRightInd/>
        <w:spacing w:beforeAutospacing="0" w:afterAutospacing="0" w:line="520" w:lineRule="exact"/>
        <w:jc w:val="left"/>
        <w:textAlignment w:val="auto"/>
        <w:rPr>
          <w:sz w:val="32"/>
          <w:szCs w:val="32"/>
        </w:rPr>
      </w:pPr>
    </w:p>
    <w:p>
      <w:pPr>
        <w:keepNext w:val="0"/>
        <w:keepLines w:val="0"/>
        <w:pageBreakBefore w:val="0"/>
        <w:kinsoku/>
        <w:wordWrap/>
        <w:overflowPunct/>
        <w:topLinePunct w:val="0"/>
        <w:autoSpaceDN/>
        <w:bidi w:val="0"/>
        <w:adjustRightInd/>
        <w:spacing w:beforeAutospacing="0" w:afterAutospacing="0" w:line="520" w:lineRule="exact"/>
        <w:textAlignment w:val="auto"/>
        <w:rPr>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
    <w:panose1 w:val="02010609060101010101"/>
    <w:charset w:val="86"/>
    <w:family w:val="auto"/>
    <w:pitch w:val="default"/>
    <w:sig w:usb0="800002BF" w:usb1="38CF7CFA" w:usb2="0000001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D35A9B"/>
    <w:rsid w:val="37D35A9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FollowedHyperlink"/>
    <w:basedOn w:val="4"/>
    <w:uiPriority w:val="0"/>
    <w:rPr>
      <w:rFonts w:ascii="微软雅黑" w:hAnsi="微软雅黑" w:eastAsia="微软雅黑" w:cs="微软雅黑"/>
      <w:color w:val="000000"/>
      <w:u w:val="none"/>
    </w:rPr>
  </w:style>
  <w:style w:type="character" w:styleId="6">
    <w:name w:val="HTML Acronym"/>
    <w:basedOn w:val="4"/>
    <w:uiPriority w:val="0"/>
    <w:rPr>
      <w:bdr w:val="none" w:color="auto" w:sz="0" w:space="0"/>
    </w:rPr>
  </w:style>
  <w:style w:type="character" w:styleId="7">
    <w:name w:val="Hyperlink"/>
    <w:basedOn w:val="4"/>
    <w:uiPriority w:val="0"/>
    <w:rPr>
      <w:rFonts w:hint="eastAsia" w:ascii="微软雅黑" w:hAnsi="微软雅黑" w:eastAsia="微软雅黑" w:cs="微软雅黑"/>
      <w:color w:val="000000"/>
      <w:u w:val="none"/>
    </w:rPr>
  </w:style>
  <w:style w:type="character" w:customStyle="1" w:styleId="8">
    <w:name w:val="layui-layer-tabnow"/>
    <w:basedOn w:val="4"/>
    <w:uiPriority w:val="0"/>
    <w:rPr>
      <w:bdr w:val="single" w:color="CCCCCC" w:sz="6" w:space="0"/>
      <w:shd w:val="clear" w:fill="FFFFFF"/>
    </w:rPr>
  </w:style>
  <w:style w:type="character" w:customStyle="1" w:styleId="9">
    <w:name w:val="first-child"/>
    <w:basedOn w:val="4"/>
    <w:uiPriority w:val="0"/>
    <w:rPr>
      <w:bdr w:val="none" w:color="auto" w:sz="0" w:space="0"/>
    </w:rPr>
  </w:style>
  <w:style w:type="character" w:customStyle="1" w:styleId="10">
    <w:name w:val="msg-box"/>
    <w:basedOn w:val="4"/>
    <w:uiPriority w:val="0"/>
  </w:style>
  <w:style w:type="character" w:customStyle="1" w:styleId="11">
    <w:name w:val="msg-box1"/>
    <w:basedOn w:val="4"/>
    <w:uiPriority w:val="0"/>
  </w:style>
  <w:style w:type="character" w:customStyle="1" w:styleId="12">
    <w:name w:val="msg-box2"/>
    <w:basedOn w:val="4"/>
    <w:uiPriority w:val="0"/>
  </w:style>
  <w:style w:type="character" w:customStyle="1" w:styleId="13">
    <w:name w:val="msg-box3"/>
    <w:basedOn w:val="4"/>
    <w:uiPriority w:val="0"/>
  </w:style>
  <w:style w:type="character" w:customStyle="1" w:styleId="14">
    <w:name w:val="num51"/>
    <w:basedOn w:val="4"/>
    <w:uiPriority w:val="0"/>
  </w:style>
  <w:style w:type="character" w:customStyle="1" w:styleId="15">
    <w:name w:val="c2"/>
    <w:basedOn w:val="4"/>
    <w:uiPriority w:val="0"/>
  </w:style>
  <w:style w:type="character" w:customStyle="1" w:styleId="16">
    <w:name w:val="p05"/>
    <w:basedOn w:val="4"/>
    <w:uiPriority w:val="0"/>
    <w:rPr>
      <w:bdr w:val="none" w:color="auto" w:sz="0" w:space="0"/>
    </w:rPr>
  </w:style>
  <w:style w:type="character" w:customStyle="1" w:styleId="17">
    <w:name w:val="tit4"/>
    <w:basedOn w:val="4"/>
    <w:uiPriority w:val="0"/>
    <w:rPr>
      <w:color w:val="B60000"/>
    </w:rPr>
  </w:style>
  <w:style w:type="character" w:customStyle="1" w:styleId="18">
    <w:name w:val="tit5"/>
    <w:basedOn w:val="4"/>
    <w:uiPriority w:val="0"/>
    <w:rPr>
      <w:color w:val="B60000"/>
    </w:rPr>
  </w:style>
  <w:style w:type="character" w:customStyle="1" w:styleId="19">
    <w:name w:val="tit6"/>
    <w:basedOn w:val="4"/>
    <w:uiPriority w:val="0"/>
    <w:rPr>
      <w:color w:val="FFFFFF"/>
    </w:rPr>
  </w:style>
  <w:style w:type="character" w:customStyle="1" w:styleId="20">
    <w:name w:val="tit7"/>
    <w:basedOn w:val="4"/>
    <w:uiPriority w:val="0"/>
    <w:rPr>
      <w:b/>
      <w:color w:val="B60000"/>
      <w:bdr w:val="none" w:color="auto" w:sz="0" w:space="0"/>
    </w:rPr>
  </w:style>
  <w:style w:type="character" w:customStyle="1" w:styleId="21">
    <w:name w:val="tit8"/>
    <w:basedOn w:val="4"/>
    <w:uiPriority w:val="0"/>
    <w:rPr>
      <w:color w:val="B60000"/>
    </w:rPr>
  </w:style>
  <w:style w:type="character" w:customStyle="1" w:styleId="22">
    <w:name w:val="tit9"/>
    <w:basedOn w:val="4"/>
    <w:uiPriority w:val="0"/>
    <w:rPr>
      <w:color w:val="B60000"/>
      <w:sz w:val="27"/>
      <w:szCs w:val="27"/>
      <w:bdr w:val="single" w:color="DFCEB8" w:sz="6" w:space="0"/>
      <w:shd w:val="clear" w:fill="FFFFFF"/>
    </w:rPr>
  </w:style>
  <w:style w:type="character" w:customStyle="1" w:styleId="23">
    <w:name w:val="tit10"/>
    <w:basedOn w:val="4"/>
    <w:uiPriority w:val="0"/>
    <w:rPr>
      <w:color w:val="04A06C"/>
    </w:rPr>
  </w:style>
  <w:style w:type="character" w:customStyle="1" w:styleId="24">
    <w:name w:val="l3"/>
    <w:basedOn w:val="4"/>
    <w:uiPriority w:val="0"/>
    <w:rPr>
      <w:color w:val="999999"/>
    </w:rPr>
  </w:style>
  <w:style w:type="character" w:customStyle="1" w:styleId="25">
    <w:name w:val="txt"/>
    <w:basedOn w:val="4"/>
    <w:uiPriority w:val="0"/>
    <w:rPr>
      <w:color w:val="C0C0C0"/>
    </w:rPr>
  </w:style>
  <w:style w:type="character" w:customStyle="1" w:styleId="26">
    <w:name w:val="txt1"/>
    <w:basedOn w:val="4"/>
    <w:uiPriority w:val="0"/>
  </w:style>
  <w:style w:type="character" w:customStyle="1" w:styleId="27">
    <w:name w:val="img"/>
    <w:basedOn w:val="4"/>
    <w:uiPriority w:val="0"/>
  </w:style>
  <w:style w:type="character" w:customStyle="1" w:styleId="28">
    <w:name w:val="nostart"/>
    <w:basedOn w:val="4"/>
    <w:uiPriority w:val="0"/>
    <w:rPr>
      <w:color w:val="B60000"/>
    </w:rPr>
  </w:style>
  <w:style w:type="character" w:customStyle="1" w:styleId="29">
    <w:name w:val="nostart1"/>
    <w:basedOn w:val="4"/>
    <w:uiPriority w:val="0"/>
    <w:rPr>
      <w:color w:val="FF0000"/>
    </w:rPr>
  </w:style>
  <w:style w:type="character" w:customStyle="1" w:styleId="30">
    <w:name w:val="nostart2"/>
    <w:basedOn w:val="4"/>
    <w:uiPriority w:val="0"/>
  </w:style>
  <w:style w:type="character" w:customStyle="1" w:styleId="31">
    <w:name w:val="nostart3"/>
    <w:basedOn w:val="4"/>
    <w:uiPriority w:val="0"/>
    <w:rPr>
      <w:color w:val="FF0000"/>
    </w:rPr>
  </w:style>
  <w:style w:type="character" w:customStyle="1" w:styleId="32">
    <w:name w:val="name"/>
    <w:basedOn w:val="4"/>
    <w:uiPriority w:val="0"/>
    <w:rPr>
      <w:color w:val="695435"/>
      <w:sz w:val="24"/>
      <w:szCs w:val="24"/>
    </w:rPr>
  </w:style>
  <w:style w:type="character" w:customStyle="1" w:styleId="33">
    <w:name w:val="name1"/>
    <w:basedOn w:val="4"/>
    <w:uiPriority w:val="0"/>
    <w:rPr>
      <w:color w:val="444444"/>
      <w:sz w:val="21"/>
      <w:szCs w:val="21"/>
    </w:rPr>
  </w:style>
  <w:style w:type="character" w:customStyle="1" w:styleId="34">
    <w:name w:val="name2"/>
    <w:basedOn w:val="4"/>
    <w:uiPriority w:val="0"/>
    <w:rPr>
      <w:color w:val="000000"/>
      <w:sz w:val="39"/>
      <w:szCs w:val="39"/>
    </w:rPr>
  </w:style>
  <w:style w:type="character" w:customStyle="1" w:styleId="35">
    <w:name w:val="job"/>
    <w:basedOn w:val="4"/>
    <w:uiPriority w:val="0"/>
  </w:style>
  <w:style w:type="character" w:customStyle="1" w:styleId="36">
    <w:name w:val="job1"/>
    <w:basedOn w:val="4"/>
    <w:uiPriority w:val="0"/>
    <w:rPr>
      <w:bdr w:val="none" w:color="auto" w:sz="0" w:space="0"/>
    </w:rPr>
  </w:style>
  <w:style w:type="character" w:customStyle="1" w:styleId="37">
    <w:name w:val="img_title10"/>
    <w:basedOn w:val="4"/>
    <w:uiPriority w:val="0"/>
    <w:rPr>
      <w:vanish/>
    </w:rPr>
  </w:style>
  <w:style w:type="character" w:customStyle="1" w:styleId="38">
    <w:name w:val="img_title11"/>
    <w:basedOn w:val="4"/>
    <w:uiPriority w:val="0"/>
    <w:rPr>
      <w:vanish/>
    </w:rPr>
  </w:style>
  <w:style w:type="character" w:customStyle="1" w:styleId="39">
    <w:name w:val="img_title12"/>
    <w:basedOn w:val="4"/>
    <w:uiPriority w:val="0"/>
    <w:rPr>
      <w:vanish/>
    </w:rPr>
  </w:style>
  <w:style w:type="character" w:customStyle="1" w:styleId="40">
    <w:name w:val="img_title13"/>
    <w:basedOn w:val="4"/>
    <w:uiPriority w:val="0"/>
    <w:rPr>
      <w:vanish/>
    </w:rPr>
  </w:style>
  <w:style w:type="character" w:customStyle="1" w:styleId="41">
    <w:name w:val="red2"/>
    <w:basedOn w:val="4"/>
    <w:uiPriority w:val="0"/>
    <w:rPr>
      <w:rFonts w:hint="default" w:ascii="Arial" w:hAnsi="Arial" w:cs="Arial"/>
      <w:color w:val="E50000"/>
      <w:bdr w:val="none" w:color="auto" w:sz="0" w:space="0"/>
    </w:rPr>
  </w:style>
  <w:style w:type="character" w:customStyle="1" w:styleId="42">
    <w:name w:val="starting"/>
    <w:basedOn w:val="4"/>
    <w:uiPriority w:val="0"/>
    <w:rPr>
      <w:color w:val="B60000"/>
    </w:rPr>
  </w:style>
  <w:style w:type="character" w:customStyle="1" w:styleId="43">
    <w:name w:val="starting1"/>
    <w:basedOn w:val="4"/>
    <w:uiPriority w:val="0"/>
  </w:style>
  <w:style w:type="character" w:customStyle="1" w:styleId="44">
    <w:name w:val="starting2"/>
    <w:basedOn w:val="4"/>
    <w:uiPriority w:val="0"/>
    <w:rPr>
      <w:color w:val="339900"/>
    </w:rPr>
  </w:style>
  <w:style w:type="character" w:customStyle="1" w:styleId="45">
    <w:name w:val="starting3"/>
    <w:basedOn w:val="4"/>
    <w:uiPriority w:val="0"/>
  </w:style>
  <w:style w:type="character" w:customStyle="1" w:styleId="46">
    <w:name w:val="starting4"/>
    <w:basedOn w:val="4"/>
    <w:uiPriority w:val="0"/>
    <w:rPr>
      <w:color w:val="339900"/>
    </w:rPr>
  </w:style>
  <w:style w:type="character" w:customStyle="1" w:styleId="47">
    <w:name w:val="over"/>
    <w:basedOn w:val="4"/>
    <w:uiPriority w:val="0"/>
    <w:rPr>
      <w:color w:val="999999"/>
    </w:rPr>
  </w:style>
  <w:style w:type="character" w:customStyle="1" w:styleId="48">
    <w:name w:val="over1"/>
    <w:basedOn w:val="4"/>
    <w:uiPriority w:val="0"/>
    <w:rPr>
      <w:color w:val="B60000"/>
    </w:rPr>
  </w:style>
  <w:style w:type="character" w:customStyle="1" w:styleId="49">
    <w:name w:val="over2"/>
    <w:basedOn w:val="4"/>
    <w:uiPriority w:val="0"/>
  </w:style>
  <w:style w:type="character" w:customStyle="1" w:styleId="50">
    <w:name w:val="over3"/>
    <w:basedOn w:val="4"/>
    <w:uiPriority w:val="0"/>
    <w:rPr>
      <w:color w:val="B60000"/>
    </w:rPr>
  </w:style>
  <w:style w:type="character" w:customStyle="1" w:styleId="51">
    <w:name w:val="mesg-myd"/>
    <w:basedOn w:val="4"/>
    <w:uiPriority w:val="0"/>
    <w:rPr>
      <w:color w:val="EE0000"/>
      <w:bdr w:val="none" w:color="auto" w:sz="0" w:space="0"/>
    </w:rPr>
  </w:style>
  <w:style w:type="character" w:customStyle="1" w:styleId="52">
    <w:name w:val="buvis"/>
    <w:basedOn w:val="4"/>
    <w:uiPriority w:val="0"/>
    <w:rPr>
      <w:color w:val="999999"/>
    </w:rPr>
  </w:style>
  <w:style w:type="character" w:customStyle="1" w:styleId="53">
    <w:name w:val="buvis1"/>
    <w:basedOn w:val="4"/>
    <w:uiPriority w:val="0"/>
    <w:rPr>
      <w:color w:val="CC0000"/>
    </w:rPr>
  </w:style>
  <w:style w:type="character" w:customStyle="1" w:styleId="54">
    <w:name w:val="datetime"/>
    <w:basedOn w:val="4"/>
    <w:uiPriority w:val="0"/>
    <w:rPr>
      <w:rFonts w:hint="default" w:ascii="Arial" w:hAnsi="Arial" w:cs="Arial"/>
      <w:color w:val="999999"/>
      <w:sz w:val="21"/>
      <w:szCs w:val="21"/>
    </w:rPr>
  </w:style>
  <w:style w:type="character" w:customStyle="1" w:styleId="55">
    <w:name w:val="jg"/>
    <w:basedOn w:val="4"/>
    <w:uiPriority w:val="0"/>
  </w:style>
  <w:style w:type="character" w:customStyle="1" w:styleId="56">
    <w:name w:val="l7"/>
    <w:basedOn w:val="4"/>
    <w:uiPriority w:val="0"/>
    <w:rPr>
      <w:color w:val="999999"/>
    </w:rPr>
  </w:style>
  <w:style w:type="character" w:customStyle="1" w:styleId="57">
    <w:name w:val="num61"/>
    <w:basedOn w:val="4"/>
    <w:uiPriority w:val="0"/>
  </w:style>
  <w:style w:type="character" w:customStyle="1" w:styleId="58">
    <w:name w:val="num21"/>
    <w:basedOn w:val="4"/>
    <w:uiPriority w:val="0"/>
  </w:style>
  <w:style w:type="character" w:customStyle="1" w:styleId="59">
    <w:name w:val="num31"/>
    <w:basedOn w:val="4"/>
    <w:uiPriority w:val="0"/>
  </w:style>
  <w:style w:type="character" w:customStyle="1" w:styleId="60">
    <w:name w:val="num41"/>
    <w:basedOn w:val="4"/>
    <w:uiPriority w:val="0"/>
  </w:style>
  <w:style w:type="character" w:customStyle="1" w:styleId="61">
    <w:name w:val="num71"/>
    <w:basedOn w:val="4"/>
    <w:uiPriority w:val="0"/>
  </w:style>
  <w:style w:type="character" w:customStyle="1" w:styleId="62">
    <w:name w:val="num81"/>
    <w:basedOn w:val="4"/>
    <w:uiPriority w:val="0"/>
  </w:style>
  <w:style w:type="character" w:customStyle="1" w:styleId="63">
    <w:name w:val="l1"/>
    <w:basedOn w:val="4"/>
    <w:uiPriority w:val="0"/>
    <w:rPr>
      <w:color w:val="999999"/>
    </w:rPr>
  </w:style>
  <w:style w:type="character" w:customStyle="1" w:styleId="64">
    <w:name w:val="l2"/>
    <w:basedOn w:val="4"/>
    <w:uiPriority w:val="0"/>
    <w:rPr>
      <w:color w:val="999999"/>
    </w:rPr>
  </w:style>
  <w:style w:type="character" w:customStyle="1" w:styleId="65">
    <w:name w:val="l41"/>
    <w:basedOn w:val="4"/>
    <w:uiPriority w:val="0"/>
    <w:rPr>
      <w:color w:val="999999"/>
    </w:rPr>
  </w:style>
  <w:style w:type="character" w:customStyle="1" w:styleId="66">
    <w:name w:val="l51"/>
    <w:basedOn w:val="4"/>
    <w:uiPriority w:val="0"/>
    <w:rPr>
      <w:color w:val="999999"/>
    </w:rPr>
  </w:style>
  <w:style w:type="character" w:customStyle="1" w:styleId="67">
    <w:name w:val="l6"/>
    <w:basedOn w:val="4"/>
    <w:uiPriority w:val="0"/>
    <w:rPr>
      <w:color w:val="999999"/>
    </w:rPr>
  </w:style>
  <w:style w:type="character" w:customStyle="1" w:styleId="68">
    <w:name w:val="unit"/>
    <w:basedOn w:val="4"/>
    <w:uiPriority w:val="0"/>
    <w:rPr>
      <w:color w:val="999999"/>
      <w:bdr w:val="none" w:color="auto" w:sz="0" w:space="0"/>
    </w:rPr>
  </w:style>
  <w:style w:type="character" w:customStyle="1" w:styleId="69">
    <w:name w:val="shixiao"/>
    <w:basedOn w:val="4"/>
    <w:uiPriority w:val="0"/>
  </w:style>
  <w:style w:type="character" w:customStyle="1" w:styleId="70">
    <w:name w:val="c1"/>
    <w:basedOn w:val="4"/>
    <w:uiPriority w:val="0"/>
    <w:rPr>
      <w:bdr w:val="none" w:color="auto" w:sz="0" w:space="0"/>
    </w:rPr>
  </w:style>
  <w:style w:type="character" w:customStyle="1" w:styleId="71">
    <w:name w:val="c3"/>
    <w:basedOn w:val="4"/>
    <w:uiPriority w:val="0"/>
  </w:style>
  <w:style w:type="character" w:customStyle="1" w:styleId="72">
    <w:name w:val="zs"/>
    <w:basedOn w:val="4"/>
    <w:uiPriority w:val="0"/>
    <w:rPr>
      <w:color w:val="8D744B"/>
      <w:sz w:val="18"/>
      <w:szCs w:val="18"/>
    </w:rPr>
  </w:style>
  <w:style w:type="character" w:customStyle="1" w:styleId="73">
    <w:name w:val="zw"/>
    <w:basedOn w:val="4"/>
    <w:uiPriority w:val="0"/>
    <w:rPr>
      <w:color w:val="BD1E22"/>
      <w:sz w:val="22"/>
      <w:szCs w:val="22"/>
      <w:bdr w:val="none" w:color="auto" w:sz="0" w:space="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24</TotalTime>
  <ScaleCrop>false</ScaleCrop>
  <LinksUpToDate>false</LinksUpToDate>
  <CharactersWithSpaces>0</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2020-02-05T10:13:00Z</dcterms:created>
  <dc:creator>user</dc:creator>
  <cp:lastModifiedBy>user</cp:lastModifiedBy>
  <dcterms:modified xsi:type="dcterms:W3CDTF">2020-02-05T12:56:02Z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ies>
</file>