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5EA10A">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eastAsia="zh-CN"/>
        </w:rPr>
        <w:t>附件</w:t>
      </w:r>
      <w:r>
        <w:rPr>
          <w:rFonts w:hint="default" w:ascii="Times New Roman" w:hAnsi="Times New Roman" w:eastAsia="黑体" w:cs="Times New Roman"/>
          <w:color w:val="auto"/>
          <w:sz w:val="32"/>
          <w:szCs w:val="32"/>
          <w:lang w:val="en-US" w:eastAsia="zh-CN"/>
        </w:rPr>
        <w:t>1</w:t>
      </w:r>
    </w:p>
    <w:p w14:paraId="1D9D6E76">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eastAsia="方正小标宋简体"/>
          <w:color w:val="auto"/>
          <w:sz w:val="44"/>
          <w:szCs w:val="44"/>
        </w:rPr>
      </w:pPr>
    </w:p>
    <w:p w14:paraId="4C928696">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eastAsia="方正小标宋简体"/>
          <w:color w:val="auto"/>
          <w:sz w:val="44"/>
          <w:szCs w:val="44"/>
          <w:lang w:eastAsia="zh-CN"/>
        </w:rPr>
      </w:pPr>
      <w:r>
        <w:rPr>
          <w:rFonts w:eastAsia="方正小标宋简体"/>
          <w:color w:val="auto"/>
          <w:sz w:val="44"/>
          <w:szCs w:val="44"/>
        </w:rPr>
        <w:t>202</w:t>
      </w:r>
      <w:r>
        <w:rPr>
          <w:rFonts w:hint="eastAsia" w:eastAsia="方正小标宋简体"/>
          <w:color w:val="auto"/>
          <w:sz w:val="44"/>
          <w:szCs w:val="44"/>
          <w:highlight w:val="none"/>
          <w:lang w:val="en-US" w:eastAsia="zh-CN"/>
        </w:rPr>
        <w:t>6</w:t>
      </w:r>
      <w:r>
        <w:rPr>
          <w:rFonts w:eastAsia="方正小标宋简体"/>
          <w:color w:val="auto"/>
          <w:sz w:val="44"/>
          <w:szCs w:val="44"/>
        </w:rPr>
        <w:t>年度张家港市科技计划项目指南</w:t>
      </w:r>
    </w:p>
    <w:p w14:paraId="50D9A9BF">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eastAsia" w:ascii="方正小标宋简体" w:hAnsi="方正小标宋简体" w:eastAsia="方正小标宋简体" w:cs="方正小标宋简体"/>
          <w:color w:val="auto"/>
          <w:sz w:val="44"/>
          <w:szCs w:val="44"/>
          <w:highlight w:val="none"/>
          <w:lang w:val="en-US" w:eastAsia="zh-CN"/>
        </w:rPr>
      </w:pPr>
    </w:p>
    <w:p w14:paraId="791EDDE9">
      <w:pPr>
        <w:keepNext w:val="0"/>
        <w:keepLines w:val="0"/>
        <w:pageBreakBefore w:val="0"/>
        <w:numPr>
          <w:ilvl w:val="0"/>
          <w:numId w:val="1"/>
        </w:numPr>
        <w:kinsoku/>
        <w:wordWrap/>
        <w:overflowPunct/>
        <w:topLinePunct w:val="0"/>
        <w:autoSpaceDE/>
        <w:autoSpaceDN/>
        <w:bidi w:val="0"/>
        <w:spacing w:line="480" w:lineRule="exact"/>
        <w:ind w:firstLine="600" w:firstLineChars="200"/>
        <w:textAlignment w:val="auto"/>
        <w:rPr>
          <w:rFonts w:hint="default" w:eastAsia="黑体" w:cs="Times New Roman"/>
          <w:sz w:val="30"/>
          <w:szCs w:val="30"/>
          <w:highlight w:val="none"/>
          <w:lang w:val="en-US" w:eastAsia="zh-CN"/>
        </w:rPr>
      </w:pPr>
      <w:r>
        <w:rPr>
          <w:rFonts w:hint="default" w:eastAsia="黑体" w:cs="Times New Roman"/>
          <w:sz w:val="30"/>
          <w:szCs w:val="30"/>
          <w:highlight w:val="none"/>
          <w:lang w:val="en-US" w:eastAsia="zh-CN"/>
        </w:rPr>
        <w:t>关键核心技术攻关“揭榜挂帅”</w:t>
      </w:r>
      <w:r>
        <w:rPr>
          <w:rFonts w:hint="eastAsia" w:eastAsia="黑体" w:cs="Times New Roman"/>
          <w:sz w:val="30"/>
          <w:szCs w:val="30"/>
          <w:highlight w:val="none"/>
          <w:lang w:val="en-US" w:eastAsia="zh-CN"/>
        </w:rPr>
        <w:t>项目</w:t>
      </w:r>
      <w:r>
        <w:rPr>
          <w:rFonts w:hint="default" w:eastAsia="黑体" w:cs="Times New Roman"/>
          <w:sz w:val="30"/>
          <w:szCs w:val="30"/>
          <w:highlight w:val="none"/>
          <w:lang w:val="en-US" w:eastAsia="zh-CN"/>
        </w:rPr>
        <w:t>（重大科技成果转化）</w:t>
      </w:r>
    </w:p>
    <w:p w14:paraId="1E4C29A2">
      <w:pPr>
        <w:keepNext w:val="0"/>
        <w:keepLines w:val="0"/>
        <w:pageBreakBefore w:val="0"/>
        <w:widowControl/>
        <w:numPr>
          <w:ilvl w:val="0"/>
          <w:numId w:val="0"/>
        </w:numPr>
        <w:kinsoku/>
        <w:wordWrap/>
        <w:overflowPunct/>
        <w:topLinePunct w:val="0"/>
        <w:autoSpaceDE/>
        <w:autoSpaceDN/>
        <w:bidi w:val="0"/>
        <w:adjustRightInd/>
        <w:snapToGrid/>
        <w:spacing w:line="480" w:lineRule="exact"/>
        <w:ind w:firstLine="640" w:firstLineChars="200"/>
        <w:jc w:val="both"/>
        <w:textAlignment w:val="auto"/>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kern w:val="2"/>
          <w:sz w:val="32"/>
          <w:szCs w:val="32"/>
          <w:lang w:val="en-US" w:eastAsia="zh-CN" w:bidi="ar-SA"/>
        </w:rPr>
        <w:t>（一）</w:t>
      </w:r>
      <w:r>
        <w:rPr>
          <w:rFonts w:hint="eastAsia" w:ascii="楷体_GB2312" w:hAnsi="楷体_GB2312" w:eastAsia="楷体_GB2312" w:cs="楷体_GB2312"/>
          <w:sz w:val="32"/>
          <w:szCs w:val="32"/>
          <w:highlight w:val="none"/>
          <w:lang w:val="en-US" w:eastAsia="zh-CN"/>
        </w:rPr>
        <w:t>重点项目</w:t>
      </w:r>
    </w:p>
    <w:p w14:paraId="035FC7C1">
      <w:pPr>
        <w:keepNext w:val="0"/>
        <w:keepLines w:val="0"/>
        <w:pageBreakBefore w:val="0"/>
        <w:widowControl w:val="0"/>
        <w:kinsoku/>
        <w:wordWrap/>
        <w:overflowPunct/>
        <w:topLinePunct w:val="0"/>
        <w:autoSpaceDE/>
        <w:autoSpaceDN/>
        <w:bidi w:val="0"/>
        <w:adjustRightInd/>
        <w:snapToGrid/>
        <w:spacing w:line="480" w:lineRule="exact"/>
        <w:ind w:firstLine="643" w:firstLineChars="200"/>
        <w:textAlignment w:val="auto"/>
        <w:rPr>
          <w:rFonts w:hint="eastAsia" w:ascii="Times New Roman" w:hAnsi="Times New Roman" w:eastAsia="仿宋_GB2312" w:cs="Times New Roman"/>
          <w:b/>
          <w:bCs/>
          <w:sz w:val="32"/>
          <w:szCs w:val="32"/>
          <w:highlight w:val="none"/>
          <w:lang w:val="en-US" w:eastAsia="zh-CN"/>
        </w:rPr>
      </w:pPr>
      <w:r>
        <w:rPr>
          <w:rFonts w:hint="eastAsia" w:ascii="Times New Roman" w:hAnsi="Times New Roman" w:eastAsia="仿宋_GB2312" w:cs="Times New Roman"/>
          <w:b/>
          <w:bCs/>
          <w:sz w:val="32"/>
          <w:szCs w:val="32"/>
          <w:highlight w:val="none"/>
          <w:lang w:val="en-US" w:eastAsia="zh-CN"/>
        </w:rPr>
        <w:t>1001 生物过程大模型与生物反应器智能体技术研发</w:t>
      </w:r>
    </w:p>
    <w:p w14:paraId="3744078F">
      <w:pPr>
        <w:keepNext w:val="0"/>
        <w:keepLines w:val="0"/>
        <w:pageBreakBefore w:val="0"/>
        <w:widowControl/>
        <w:numPr>
          <w:ilvl w:val="0"/>
          <w:numId w:val="0"/>
        </w:numPr>
        <w:kinsoku/>
        <w:wordWrap/>
        <w:overflowPunct/>
        <w:topLinePunct w:val="0"/>
        <w:autoSpaceDE/>
        <w:autoSpaceDN/>
        <w:bidi w:val="0"/>
        <w:adjustRightInd/>
        <w:snapToGrid/>
        <w:spacing w:line="480" w:lineRule="exact"/>
        <w:ind w:firstLine="600"/>
        <w:jc w:val="both"/>
        <w:textAlignment w:val="auto"/>
        <w:rPr>
          <w:rFonts w:hint="default" w:eastAsia="仿宋_GB2312"/>
          <w:b w:val="0"/>
          <w:bCs w:val="0"/>
          <w:sz w:val="32"/>
          <w:szCs w:val="32"/>
          <w:lang w:val="en-US" w:eastAsia="zh-CN"/>
        </w:rPr>
      </w:pPr>
      <w:r>
        <w:rPr>
          <w:rFonts w:hint="default" w:eastAsia="仿宋_GB2312"/>
          <w:b/>
          <w:bCs/>
          <w:sz w:val="32"/>
          <w:szCs w:val="32"/>
          <w:lang w:val="en-US" w:eastAsia="zh-CN"/>
        </w:rPr>
        <w:t>研究内容：</w:t>
      </w:r>
      <w:r>
        <w:rPr>
          <w:rFonts w:hint="default" w:eastAsia="仿宋_GB2312"/>
          <w:b w:val="0"/>
          <w:bCs w:val="0"/>
          <w:sz w:val="32"/>
          <w:szCs w:val="32"/>
          <w:lang w:val="en-US" w:eastAsia="zh-CN"/>
        </w:rPr>
        <w:t>面向生物制造智能化升级需求，开展生物过程大模型与生物反应器智能体技术研发。具体包括：突破多尺度反应器时序数据统一表征与跨规模预训练方法，构建融合生物反应机理知识与工业大数据的多模态知识增强型生物过程专用大模型；突破通用大模型在生物制造领域的适配性短板，研发融合大模型认知推理、工具调用、多智能体协同与自博弈强化学习的生物反应器智能体，赋予装备自主感知、认知推理、决策执行和持续进化能力；构建生物过程多模态知识图谱，建立“大模型预测-智能体决策-现场执行-数据反馈-模型迭代”的全闭环优化体系，实现从“经验驱动”向“模型驱动”的范式转变；开发具有自主知识产权的通用型生物过程智能决策平台，完成覆盖小试、中试及生产规模全量程的系列化智能生物反应器装备研制与全链条工艺放大验证。</w:t>
      </w:r>
    </w:p>
    <w:p w14:paraId="242369D2">
      <w:pPr>
        <w:keepNext w:val="0"/>
        <w:keepLines w:val="0"/>
        <w:pageBreakBefore w:val="0"/>
        <w:widowControl/>
        <w:numPr>
          <w:ilvl w:val="0"/>
          <w:numId w:val="0"/>
        </w:numPr>
        <w:kinsoku/>
        <w:wordWrap/>
        <w:overflowPunct/>
        <w:topLinePunct w:val="0"/>
        <w:autoSpaceDE/>
        <w:autoSpaceDN/>
        <w:bidi w:val="0"/>
        <w:adjustRightInd/>
        <w:snapToGrid/>
        <w:spacing w:line="480" w:lineRule="exact"/>
        <w:ind w:firstLine="600"/>
        <w:jc w:val="both"/>
        <w:textAlignment w:val="auto"/>
        <w:rPr>
          <w:rFonts w:hint="default" w:eastAsia="仿宋_GB2312"/>
          <w:b w:val="0"/>
          <w:bCs w:val="0"/>
          <w:sz w:val="32"/>
          <w:szCs w:val="32"/>
          <w:lang w:val="en-US" w:eastAsia="zh-CN"/>
        </w:rPr>
      </w:pPr>
      <w:r>
        <w:rPr>
          <w:rFonts w:hint="default" w:eastAsia="仿宋_GB2312"/>
          <w:b/>
          <w:bCs/>
          <w:sz w:val="32"/>
          <w:szCs w:val="32"/>
          <w:lang w:val="en-US" w:eastAsia="zh-CN"/>
        </w:rPr>
        <w:t>考核指标：</w:t>
      </w:r>
      <w:r>
        <w:rPr>
          <w:rFonts w:hint="default" w:eastAsia="仿宋_GB2312"/>
          <w:b w:val="0"/>
          <w:bCs w:val="0"/>
          <w:sz w:val="32"/>
          <w:szCs w:val="32"/>
          <w:lang w:val="en-US" w:eastAsia="zh-CN"/>
        </w:rPr>
        <w:t>（1）建立≥30种参数采集平台，完成≥5种典型对象数据采集，形成≥3000条标注数据集。（2）建成多模态知识库，基于大模型完成≥50万篇文献挖掘与知识抽取，构建知识图谱（节点≥5万、边≥20 万），语义抽取准确率≥75%。（3）完成专用大模型训练与本地部署，集成多头自注意力与混合专家架构，参数量≥1亿，预测误差≤8%，支持12维变量6小时以上预测。交付大模型及测评库1套。（4）构建AI工艺助手，支持≥30种意图、≥50个工具、跨7页上下文记忆与主动推送，输出合规率≥95%。（5）交付酶工程套件3套：酶活性预测（kcat/Km/kcat/Km）准确率≥75%；酶稳定性预测（Tm/pH/有机耐受）准确率≥85%；细胞代谢元件预测（启动子/RBS/终止子）准确率≥70%，覆盖≥2种宿主。（6）完成大模型与反应器闭环集成，控制原型1套，≥20种策略；在≥2种规格反应器、≥2种产品中示范验证，效价提升≥50%，周期缩短≥20%，放大成功率≥70%。（7）项目成果在本地公共技术服务平台实现不少于1家落地应用。</w:t>
      </w:r>
    </w:p>
    <w:p w14:paraId="760FF6DE">
      <w:pPr>
        <w:keepNext w:val="0"/>
        <w:keepLines w:val="0"/>
        <w:pageBreakBefore w:val="0"/>
        <w:widowControl w:val="0"/>
        <w:kinsoku/>
        <w:wordWrap/>
        <w:overflowPunct/>
        <w:topLinePunct w:val="0"/>
        <w:autoSpaceDE/>
        <w:autoSpaceDN/>
        <w:bidi w:val="0"/>
        <w:adjustRightInd/>
        <w:snapToGrid/>
        <w:spacing w:line="480" w:lineRule="exact"/>
        <w:ind w:firstLine="643" w:firstLineChars="200"/>
        <w:textAlignment w:val="auto"/>
        <w:rPr>
          <w:rFonts w:hint="default" w:ascii="Times New Roman" w:hAnsi="Times New Roman" w:eastAsia="仿宋_GB2312" w:cs="Times New Roman"/>
          <w:b/>
          <w:bCs/>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1002  数字病理大模型和智能辅助诊断检测产品研发</w:t>
      </w:r>
    </w:p>
    <w:p w14:paraId="7F1F6B12">
      <w:pPr>
        <w:keepNext w:val="0"/>
        <w:keepLines w:val="0"/>
        <w:pageBreakBefore w:val="0"/>
        <w:widowControl/>
        <w:numPr>
          <w:ilvl w:val="0"/>
          <w:numId w:val="0"/>
        </w:numPr>
        <w:kinsoku/>
        <w:wordWrap/>
        <w:overflowPunct/>
        <w:topLinePunct w:val="0"/>
        <w:autoSpaceDE/>
        <w:autoSpaceDN/>
        <w:bidi w:val="0"/>
        <w:adjustRightInd/>
        <w:snapToGrid/>
        <w:spacing w:line="480" w:lineRule="exact"/>
        <w:ind w:firstLine="643" w:firstLineChars="200"/>
        <w:jc w:val="both"/>
        <w:textAlignment w:val="auto"/>
        <w:rPr>
          <w:rFonts w:hint="default" w:eastAsia="仿宋_GB2312"/>
          <w:b w:val="0"/>
          <w:bCs w:val="0"/>
          <w:sz w:val="32"/>
          <w:szCs w:val="32"/>
          <w:lang w:val="en-US" w:eastAsia="zh-CN"/>
        </w:rPr>
      </w:pPr>
      <w:r>
        <w:rPr>
          <w:rFonts w:hint="default" w:eastAsia="仿宋_GB2312"/>
          <w:b/>
          <w:bCs/>
          <w:sz w:val="32"/>
          <w:szCs w:val="32"/>
          <w:lang w:val="en-US" w:eastAsia="zh-CN"/>
        </w:rPr>
        <w:t>研究内容：</w:t>
      </w:r>
      <w:r>
        <w:rPr>
          <w:rFonts w:hint="default" w:eastAsia="仿宋_GB2312"/>
          <w:b w:val="0"/>
          <w:bCs w:val="0"/>
          <w:sz w:val="32"/>
          <w:szCs w:val="32"/>
          <w:lang w:val="en-US" w:eastAsia="zh-CN"/>
        </w:rPr>
        <w:t>面向消化系统恶性肿瘤领域，研发融合数字病理大模型人工智能技术的辅助诊断检测产品，突破辅助诊断、辅助检测、辅助分诊等人工智能算法</w:t>
      </w:r>
      <w:r>
        <w:rPr>
          <w:rFonts w:hint="eastAsia" w:eastAsia="仿宋_GB2312"/>
          <w:b w:val="0"/>
          <w:bCs w:val="0"/>
          <w:sz w:val="32"/>
          <w:szCs w:val="32"/>
          <w:lang w:val="en-US" w:eastAsia="zh-CN"/>
        </w:rPr>
        <w:t>关键技术</w:t>
      </w:r>
      <w:r>
        <w:rPr>
          <w:rFonts w:hint="default" w:eastAsia="仿宋_GB2312"/>
          <w:b w:val="0"/>
          <w:bCs w:val="0"/>
          <w:sz w:val="32"/>
          <w:szCs w:val="32"/>
          <w:lang w:val="en-US" w:eastAsia="zh-CN"/>
        </w:rPr>
        <w:t xml:space="preserve">。具体包括：建立规范化WSI质控体系，针对结直肠癌FFPE标本H&amp;E染色全景数字切片，完成图像清晰度校验、染色均一性筛查、组织有效区域甄别、折叠破损及空白背景剔除、扫描伪影降噪等多层级质量筛选，剔除不合格病理图像数据，构建高质量、标准化的模型数据集；依托数字病理大模型的高阶语义理解与深层形态特征挖掘能力，对病理图像数据进行鲁棒表征方法研究；研发消化系统恶性肿瘤结直肠癌智能辅助分诊算法，针对微卫星不稳定性这一重要分子标志物，构建基于数字病理大模型的微卫星不稳定性智能辅助算法模型，精准实现样本微卫星不稳定状态（MSI-H）与微卫星稳定状态（MSS）的自动分类判读，突破传统算法特征依赖人工设计、泛化能力弱、判读精度有限的技术短板。 </w:t>
      </w:r>
    </w:p>
    <w:p w14:paraId="49439439">
      <w:pPr>
        <w:keepNext w:val="0"/>
        <w:keepLines w:val="0"/>
        <w:pageBreakBefore w:val="0"/>
        <w:widowControl/>
        <w:numPr>
          <w:ilvl w:val="0"/>
          <w:numId w:val="0"/>
        </w:numPr>
        <w:kinsoku/>
        <w:wordWrap/>
        <w:overflowPunct/>
        <w:topLinePunct w:val="0"/>
        <w:autoSpaceDE/>
        <w:autoSpaceDN/>
        <w:bidi w:val="0"/>
        <w:adjustRightInd/>
        <w:snapToGrid/>
        <w:spacing w:line="480" w:lineRule="exact"/>
        <w:ind w:firstLine="643" w:firstLineChars="200"/>
        <w:jc w:val="both"/>
        <w:textAlignment w:val="auto"/>
        <w:rPr>
          <w:rFonts w:hint="default" w:eastAsia="仿宋_GB2312"/>
          <w:b w:val="0"/>
          <w:bCs w:val="0"/>
          <w:sz w:val="32"/>
          <w:szCs w:val="32"/>
          <w:lang w:val="en-US" w:eastAsia="zh-CN"/>
        </w:rPr>
      </w:pPr>
      <w:r>
        <w:rPr>
          <w:rFonts w:hint="default" w:eastAsia="仿宋_GB2312"/>
          <w:b/>
          <w:bCs/>
          <w:sz w:val="32"/>
          <w:szCs w:val="32"/>
          <w:lang w:val="en-US" w:eastAsia="zh-CN"/>
        </w:rPr>
        <w:t>考核指标：</w:t>
      </w:r>
      <w:r>
        <w:rPr>
          <w:rFonts w:hint="default" w:eastAsia="仿宋_GB2312"/>
          <w:b w:val="0"/>
          <w:bCs w:val="0"/>
          <w:sz w:val="32"/>
          <w:szCs w:val="32"/>
          <w:lang w:val="en-US" w:eastAsia="zh-CN"/>
        </w:rPr>
        <w:t>（1）合作临床中心≥5家（含本市医疗机构2家），形成高质量消化系统肿瘤数据库，高质量数字化病理全切片图像（WSI）≥1万张，图像数据量≥100万张。（2）数据来源合规：取得伦理审查批件，符合《个人信息保护法》《医疗卫生机构网络安全管理办法》要求；数据质量达标：标注准确率≥98%，数据去重、脱敏、质控流程完整，形成数据标准与质控手册。（3）开发垂直领域大模型≥1个，支持多倍率（20×/40×）病理图像输入，单张图片推理时间≤60秒。（4）模型在微卫星不稳定性（MSI）检测任务上，灵敏度≥95%，阴性预测值（NPV）≥98%。（5）产品通过第三方评测机构的安全性、合规性评估，在多家医疗机构进行试用≥3家。（6）研发成果申报三类医疗器械≥1个。</w:t>
      </w:r>
    </w:p>
    <w:p w14:paraId="3F950E85">
      <w:pPr>
        <w:keepNext w:val="0"/>
        <w:keepLines w:val="0"/>
        <w:pageBreakBefore w:val="0"/>
        <w:widowControl w:val="0"/>
        <w:kinsoku/>
        <w:wordWrap/>
        <w:overflowPunct/>
        <w:topLinePunct w:val="0"/>
        <w:autoSpaceDE/>
        <w:autoSpaceDN/>
        <w:bidi w:val="0"/>
        <w:adjustRightInd/>
        <w:snapToGrid/>
        <w:spacing w:line="480" w:lineRule="exact"/>
        <w:ind w:firstLine="643" w:firstLineChars="200"/>
        <w:textAlignment w:val="auto"/>
        <w:rPr>
          <w:rFonts w:hint="default" w:ascii="Times New Roman" w:hAnsi="Times New Roman" w:eastAsia="仿宋_GB2312" w:cs="Times New Roman"/>
          <w:b/>
          <w:bCs/>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1003液氢型航空动力装备与整机集成技术研发</w:t>
      </w:r>
    </w:p>
    <w:p w14:paraId="78B0FA9D">
      <w:pPr>
        <w:keepNext w:val="0"/>
        <w:keepLines w:val="0"/>
        <w:pageBreakBefore w:val="0"/>
        <w:widowControl/>
        <w:numPr>
          <w:ilvl w:val="0"/>
          <w:numId w:val="0"/>
        </w:numPr>
        <w:kinsoku/>
        <w:wordWrap/>
        <w:overflowPunct/>
        <w:topLinePunct w:val="0"/>
        <w:autoSpaceDE/>
        <w:autoSpaceDN/>
        <w:bidi w:val="0"/>
        <w:adjustRightInd/>
        <w:snapToGrid/>
        <w:spacing w:line="480" w:lineRule="exact"/>
        <w:ind w:firstLine="643" w:firstLineChars="200"/>
        <w:jc w:val="both"/>
        <w:textAlignment w:val="auto"/>
        <w:rPr>
          <w:rFonts w:hint="default" w:ascii="Times New Roman" w:hAnsi="Times New Roman" w:eastAsia="仿宋_GB2312" w:cs="Times New Roman"/>
          <w:sz w:val="32"/>
          <w:szCs w:val="32"/>
          <w:vertAlign w:val="baseline"/>
          <w:lang w:val="en-US" w:eastAsia="zh-CN"/>
        </w:rPr>
      </w:pPr>
      <w:r>
        <w:rPr>
          <w:rFonts w:hint="default" w:eastAsia="仿宋_GB2312"/>
          <w:b/>
          <w:bCs/>
          <w:sz w:val="32"/>
          <w:szCs w:val="32"/>
          <w:lang w:val="en-US" w:eastAsia="zh-CN"/>
        </w:rPr>
        <w:t>研究内容：</w:t>
      </w:r>
      <w:r>
        <w:rPr>
          <w:rFonts w:hint="default" w:eastAsia="仿宋_GB2312"/>
          <w:b w:val="0"/>
          <w:bCs w:val="0"/>
          <w:sz w:val="32"/>
          <w:szCs w:val="32"/>
          <w:lang w:val="en-US" w:eastAsia="zh-CN"/>
        </w:rPr>
        <w:t>面向低空经济绿色航空动力长航时发展需求，开展液氢型航空动力装备与整机集成技术研发，突破轻量化航空用液氢气瓶、液氢供氢系统以及液氢动力无人机整机集成等关键技术与装备。具体包括：针对航空器对重量和安全性极端敏感的特点，开展液氢气瓶轻量化结构设计与材料选型研究，突破轻量化材料成型或无内胆碳纤维缠绕工艺，开展气瓶在低空飞行环境适应性试验验证，建立航空液氢气瓶安全评价体系。面向中低空、宽温域、变负载工况，研发高效紧凑型液氢气化与压力调控模块，突破增压器与气化器的集成匹配技术，研究供氢系统与氢动力系统的耦合特性，确保变工况下的稳定供氢。开展液氢储供系统与氢动力系统在无人机平台上的总体布局匹配设计，攻克液氢储供、冷启动、热管理等整机集成关键技术，完成验证机设计、制造及全机地面试验，形成液氢动力无人机整机集成技术规范。</w:t>
      </w:r>
    </w:p>
    <w:p w14:paraId="52763863">
      <w:pPr>
        <w:keepNext w:val="0"/>
        <w:keepLines w:val="0"/>
        <w:pageBreakBefore w:val="0"/>
        <w:widowControl/>
        <w:numPr>
          <w:ilvl w:val="0"/>
          <w:numId w:val="0"/>
        </w:numPr>
        <w:kinsoku/>
        <w:wordWrap/>
        <w:overflowPunct/>
        <w:topLinePunct w:val="0"/>
        <w:autoSpaceDE/>
        <w:autoSpaceDN/>
        <w:bidi w:val="0"/>
        <w:adjustRightInd/>
        <w:snapToGrid/>
        <w:spacing w:line="480" w:lineRule="exact"/>
        <w:ind w:firstLine="643" w:firstLineChars="200"/>
        <w:jc w:val="both"/>
        <w:textAlignment w:val="auto"/>
        <w:rPr>
          <w:rFonts w:hint="default" w:eastAsia="仿宋_GB2312"/>
          <w:b w:val="0"/>
          <w:bCs w:val="0"/>
          <w:sz w:val="32"/>
          <w:szCs w:val="32"/>
        </w:rPr>
      </w:pPr>
      <w:r>
        <w:rPr>
          <w:rFonts w:hint="default" w:eastAsia="仿宋_GB2312"/>
          <w:b/>
          <w:bCs/>
          <w:sz w:val="32"/>
          <w:szCs w:val="32"/>
          <w:lang w:val="en-US" w:eastAsia="zh-CN"/>
        </w:rPr>
        <w:t>考核指标：</w:t>
      </w:r>
      <w:r>
        <w:rPr>
          <w:rFonts w:hint="default" w:eastAsia="仿宋_GB2312"/>
          <w:b w:val="0"/>
          <w:bCs w:val="0"/>
          <w:sz w:val="32"/>
          <w:szCs w:val="32"/>
        </w:rPr>
        <w:t>（1）轻量化航空液氢气瓶：工作压力范围覆盖0.2～1MPa，质量储氢密度≥15 wt%，通过振动、冲击、跌落、疲劳、爆破等全套环境适应性试验。（2）液氢气化供应系统：适应中低空（0-3000m）、宽温（-40℃至+40℃）、变负载工况，输出氢气压力控制精度±10%，流量调节范围30-100%。（3）氢能无人机整机集成与飞行验证：完成验证机的设计、制造、全机地面试验和试飞，完成包含起飞、爬升、巡航、机动、下滑、着陆以及模拟动力失效迫降在内的完整试飞科目，积累≥50飞行小时的有效数据。</w:t>
      </w:r>
    </w:p>
    <w:p w14:paraId="1FF761E2">
      <w:pPr>
        <w:keepNext w:val="0"/>
        <w:keepLines w:val="0"/>
        <w:pageBreakBefore w:val="0"/>
        <w:widowControl/>
        <w:numPr>
          <w:ilvl w:val="0"/>
          <w:numId w:val="0"/>
        </w:numPr>
        <w:tabs>
          <w:tab w:val="left" w:pos="533"/>
        </w:tabs>
        <w:kinsoku/>
        <w:wordWrap/>
        <w:overflowPunct/>
        <w:topLinePunct w:val="0"/>
        <w:autoSpaceDE/>
        <w:autoSpaceDN/>
        <w:bidi w:val="0"/>
        <w:adjustRightInd/>
        <w:snapToGrid/>
        <w:spacing w:line="480" w:lineRule="exact"/>
        <w:ind w:firstLine="640" w:firstLineChars="200"/>
        <w:jc w:val="both"/>
        <w:textAlignment w:val="auto"/>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kern w:val="2"/>
          <w:sz w:val="32"/>
          <w:szCs w:val="32"/>
          <w:lang w:val="en-US" w:eastAsia="zh-CN" w:bidi="ar-SA"/>
        </w:rPr>
        <w:t>（二）</w:t>
      </w:r>
      <w:r>
        <w:rPr>
          <w:rFonts w:hint="eastAsia" w:ascii="楷体_GB2312" w:hAnsi="楷体_GB2312" w:eastAsia="楷体_GB2312" w:cs="楷体_GB2312"/>
          <w:sz w:val="32"/>
          <w:szCs w:val="32"/>
          <w:highlight w:val="none"/>
          <w:lang w:val="en-US" w:eastAsia="zh-CN"/>
        </w:rPr>
        <w:t>面上项目</w:t>
      </w:r>
    </w:p>
    <w:p w14:paraId="3E109923">
      <w:pPr>
        <w:keepNext w:val="0"/>
        <w:keepLines w:val="0"/>
        <w:pageBreakBefore w:val="0"/>
        <w:widowControl w:val="0"/>
        <w:kinsoku/>
        <w:wordWrap/>
        <w:overflowPunct/>
        <w:topLinePunct w:val="0"/>
        <w:autoSpaceDE/>
        <w:autoSpaceDN/>
        <w:bidi w:val="0"/>
        <w:adjustRightInd/>
        <w:snapToGrid/>
        <w:spacing w:line="480" w:lineRule="exact"/>
        <w:ind w:firstLine="643" w:firstLineChars="200"/>
        <w:textAlignment w:val="auto"/>
        <w:rPr>
          <w:rFonts w:hint="default" w:ascii="Times New Roman" w:hAnsi="Times New Roman" w:eastAsia="仿宋_GB2312" w:cs="Times New Roman"/>
          <w:b/>
          <w:bCs/>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2001第三代半导体</w:t>
      </w:r>
    </w:p>
    <w:p w14:paraId="3D412FD8">
      <w:pPr>
        <w:keepNext w:val="0"/>
        <w:keepLines w:val="0"/>
        <w:pageBreakBefore w:val="0"/>
        <w:kinsoku/>
        <w:wordWrap/>
        <w:overflowPunct/>
        <w:topLinePunct w:val="0"/>
        <w:autoSpaceDE/>
        <w:autoSpaceDN/>
        <w:bidi w:val="0"/>
        <w:spacing w:line="480" w:lineRule="exact"/>
        <w:ind w:firstLine="643" w:firstLineChars="200"/>
        <w:textAlignment w:val="auto"/>
        <w:rPr>
          <w:rFonts w:hint="default" w:eastAsia="仿宋_GB2312"/>
          <w:b w:val="0"/>
          <w:bCs w:val="0"/>
          <w:sz w:val="32"/>
          <w:szCs w:val="32"/>
          <w:lang w:val="en-US" w:eastAsia="zh-CN"/>
        </w:rPr>
      </w:pPr>
      <w:r>
        <w:rPr>
          <w:rFonts w:hint="default" w:eastAsia="仿宋_GB2312"/>
          <w:b/>
          <w:bCs/>
          <w:sz w:val="32"/>
          <w:szCs w:val="32"/>
          <w:lang w:val="en-US" w:eastAsia="zh-CN"/>
        </w:rPr>
        <w:t>研究内容：</w:t>
      </w:r>
      <w:r>
        <w:rPr>
          <w:rFonts w:hint="default" w:eastAsia="仿宋_GB2312"/>
          <w:b w:val="0"/>
          <w:bCs w:val="0"/>
          <w:sz w:val="32"/>
          <w:szCs w:val="32"/>
          <w:lang w:val="en-US" w:eastAsia="zh-CN"/>
        </w:rPr>
        <w:t>面向新一代信息技术、能源互联网、智能制造等发展需要，重点开展（1）氮化镓、碳化硅等宽禁带半导体材料和器件研发，氧化镓等超宽禁带半导体材料和器件研发；柔性显示、印刷显示、全息显示、激光显示、量子点显示、电子纸显示、OLED显示等新型显示材料与器件研发；面向先进封装的玻璃基板（TGV）、铁电、磁电、忆阻器等信息感知与传输处理材料与器件研发；（2）高端光刻胶、高纯度化学试剂、高精度掩膜版、前驱体材料、抛光液、高纯靶材等关键材料制备技术研发；（3）光刻机、刻蚀机、离子扩散及注入设备、真空蒸镀机、化学气相沉积（CVD）、工艺检测设备、组装与封测设备等集成电路专用装备及部件关键技术研发；（4）</w:t>
      </w:r>
      <w:r>
        <w:rPr>
          <w:rFonts w:eastAsia="仿宋_GB2312"/>
          <w:bCs/>
          <w:sz w:val="32"/>
          <w:szCs w:val="32"/>
          <w:highlight w:val="none"/>
        </w:rPr>
        <w:t>大功率半导体激光芯片、高速光通信芯片</w:t>
      </w:r>
      <w:r>
        <w:rPr>
          <w:rFonts w:hint="default" w:eastAsia="仿宋_GB2312"/>
          <w:bCs/>
          <w:sz w:val="32"/>
          <w:szCs w:val="32"/>
          <w:highlight w:val="none"/>
          <w:lang w:val="en-US" w:eastAsia="zh-CN"/>
        </w:rPr>
        <w:t>及其系统</w:t>
      </w:r>
      <w:r>
        <w:rPr>
          <w:rFonts w:eastAsia="仿宋_GB2312"/>
          <w:bCs/>
          <w:sz w:val="32"/>
          <w:szCs w:val="32"/>
          <w:highlight w:val="none"/>
        </w:rPr>
        <w:t>、传感探测芯片、生物传感芯片、硅光芯片、LED芯片、高性能光电一体化芯片、光子计算芯片等光子芯片</w:t>
      </w:r>
      <w:r>
        <w:rPr>
          <w:rFonts w:hint="default" w:eastAsia="仿宋_GB2312"/>
          <w:bCs/>
          <w:sz w:val="32"/>
          <w:szCs w:val="32"/>
          <w:highlight w:val="none"/>
          <w:lang w:eastAsia="zh-CN"/>
        </w:rPr>
        <w:t>技术研发；</w:t>
      </w:r>
      <w:r>
        <w:rPr>
          <w:rFonts w:hint="default" w:eastAsia="仿宋_GB2312"/>
          <w:b w:val="0"/>
          <w:bCs w:val="0"/>
          <w:sz w:val="32"/>
          <w:szCs w:val="32"/>
          <w:lang w:val="en-US" w:eastAsia="zh-CN"/>
        </w:rPr>
        <w:t>（5）其他支撑半导体与集成电路发展的关键材料和装备研发。</w:t>
      </w:r>
      <w:bookmarkStart w:id="0" w:name="_GoBack"/>
      <w:bookmarkEnd w:id="0"/>
    </w:p>
    <w:p w14:paraId="3A49D37F">
      <w:pPr>
        <w:keepNext w:val="0"/>
        <w:keepLines w:val="0"/>
        <w:pageBreakBefore w:val="0"/>
        <w:widowControl w:val="0"/>
        <w:kinsoku/>
        <w:wordWrap/>
        <w:overflowPunct/>
        <w:topLinePunct w:val="0"/>
        <w:autoSpaceDE/>
        <w:autoSpaceDN/>
        <w:bidi w:val="0"/>
        <w:adjustRightInd/>
        <w:snapToGrid/>
        <w:spacing w:line="480" w:lineRule="exact"/>
        <w:ind w:firstLine="643" w:firstLineChars="200"/>
        <w:textAlignment w:val="auto"/>
        <w:rPr>
          <w:rFonts w:hint="default" w:ascii="Times New Roman" w:hAnsi="Times New Roman" w:eastAsia="仿宋_GB2312" w:cs="Times New Roman"/>
          <w:b/>
          <w:bCs/>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2002生物医药及高端医疗器械</w:t>
      </w:r>
    </w:p>
    <w:p w14:paraId="3D43F4E0">
      <w:pPr>
        <w:keepNext w:val="0"/>
        <w:keepLines w:val="0"/>
        <w:pageBreakBefore w:val="0"/>
        <w:kinsoku/>
        <w:wordWrap/>
        <w:overflowPunct/>
        <w:topLinePunct w:val="0"/>
        <w:autoSpaceDE/>
        <w:autoSpaceDN/>
        <w:bidi w:val="0"/>
        <w:spacing w:line="480" w:lineRule="exact"/>
        <w:ind w:firstLine="643" w:firstLineChars="200"/>
        <w:textAlignment w:val="auto"/>
        <w:rPr>
          <w:rFonts w:hint="default" w:eastAsia="仿宋_GB2312"/>
          <w:b/>
          <w:bCs/>
          <w:sz w:val="32"/>
          <w:szCs w:val="32"/>
          <w:lang w:val="en-US" w:eastAsia="zh-CN"/>
        </w:rPr>
      </w:pPr>
      <w:r>
        <w:rPr>
          <w:rFonts w:hint="default" w:eastAsia="仿宋_GB2312"/>
          <w:b/>
          <w:bCs/>
          <w:sz w:val="32"/>
          <w:szCs w:val="32"/>
          <w:lang w:val="en-US" w:eastAsia="zh-CN"/>
        </w:rPr>
        <w:t>研究内容：</w:t>
      </w:r>
      <w:r>
        <w:rPr>
          <w:rFonts w:hint="default" w:eastAsia="仿宋_GB2312"/>
          <w:b w:val="0"/>
          <w:bCs w:val="0"/>
          <w:sz w:val="32"/>
          <w:szCs w:val="32"/>
          <w:lang w:val="en-US" w:eastAsia="zh-CN"/>
        </w:rPr>
        <w:t>围绕个体化精准医疗、再生医学、新药研发等领域应用需要，重点开展（1）智能医学影像诊断系统及设备、体外诊断（IVD）系统及设备、实验室诊断系统及设备等高端医学诊断设备及关键零部件研发；智能化、整合化、精准化、便携式的医学监护设备研发；（2）体外诊断试剂与材料研发；心</w:t>
      </w:r>
      <w:r>
        <w:rPr>
          <w:rFonts w:eastAsia="仿宋_GB2312"/>
          <w:sz w:val="32"/>
          <w:szCs w:val="32"/>
        </w:rPr>
        <w:t>脑血管和外周血管介入耗材、人工晶状体、角膜塑形镜</w:t>
      </w:r>
      <w:r>
        <w:rPr>
          <w:rFonts w:hint="default" w:eastAsia="仿宋_GB2312"/>
          <w:sz w:val="32"/>
          <w:szCs w:val="32"/>
          <w:lang w:eastAsia="zh-CN"/>
        </w:rPr>
        <w:t>、高端骨科动力系统及设备、骨科手术导航控制系统、</w:t>
      </w:r>
      <w:r>
        <w:rPr>
          <w:rFonts w:eastAsia="仿宋_GB2312"/>
          <w:sz w:val="32"/>
          <w:szCs w:val="32"/>
        </w:rPr>
        <w:t>骨科</w:t>
      </w:r>
      <w:r>
        <w:rPr>
          <w:rFonts w:hint="default" w:eastAsia="仿宋_GB2312"/>
          <w:sz w:val="32"/>
          <w:szCs w:val="32"/>
        </w:rPr>
        <w:t>耗材</w:t>
      </w:r>
      <w:r>
        <w:rPr>
          <w:rFonts w:hint="default" w:eastAsia="仿宋_GB2312"/>
          <w:sz w:val="32"/>
          <w:szCs w:val="32"/>
          <w:lang w:eastAsia="zh-CN"/>
        </w:rPr>
        <w:t>、</w:t>
      </w:r>
      <w:r>
        <w:rPr>
          <w:rFonts w:hint="default" w:eastAsia="仿宋_GB2312"/>
          <w:sz w:val="32"/>
          <w:szCs w:val="32"/>
          <w:highlight w:val="none"/>
        </w:rPr>
        <w:t>骨科填充和修复类材料</w:t>
      </w:r>
      <w:r>
        <w:rPr>
          <w:rFonts w:hint="default" w:eastAsia="仿宋_GB2312"/>
          <w:sz w:val="32"/>
          <w:szCs w:val="32"/>
          <w:highlight w:val="none"/>
          <w:lang w:eastAsia="zh-CN"/>
        </w:rPr>
        <w:t>、</w:t>
      </w:r>
      <w:r>
        <w:rPr>
          <w:rFonts w:hint="default" w:eastAsia="仿宋_GB2312"/>
          <w:sz w:val="32"/>
          <w:szCs w:val="32"/>
        </w:rPr>
        <w:t>功能性创面愈合材料</w:t>
      </w:r>
      <w:r>
        <w:rPr>
          <w:rFonts w:hint="default" w:eastAsia="仿宋_GB2312"/>
          <w:sz w:val="32"/>
          <w:szCs w:val="32"/>
          <w:lang w:eastAsia="zh-CN"/>
        </w:rPr>
        <w:t>等高值耗材研发；（</w:t>
      </w:r>
      <w:r>
        <w:rPr>
          <w:rFonts w:hint="default" w:eastAsia="仿宋_GB2312"/>
          <w:sz w:val="32"/>
          <w:szCs w:val="32"/>
          <w:lang w:val="en-US" w:eastAsia="zh-CN"/>
        </w:rPr>
        <w:t>3</w:t>
      </w:r>
      <w:r>
        <w:rPr>
          <w:rFonts w:hint="default" w:eastAsia="仿宋_GB2312"/>
          <w:sz w:val="32"/>
          <w:szCs w:val="32"/>
          <w:lang w:eastAsia="zh-CN"/>
        </w:rPr>
        <w:t>）</w:t>
      </w:r>
      <w:r>
        <w:rPr>
          <w:rFonts w:eastAsia="仿宋_GB2312"/>
          <w:sz w:val="32"/>
          <w:szCs w:val="32"/>
        </w:rPr>
        <w:t>新型抗体、新型疫苗、核酸药物、</w:t>
      </w:r>
      <w:r>
        <w:rPr>
          <w:rFonts w:hint="default" w:eastAsia="仿宋_GB2312"/>
          <w:sz w:val="32"/>
          <w:szCs w:val="32"/>
          <w:lang w:eastAsia="zh-CN"/>
        </w:rPr>
        <w:t>多肽药物等前沿生物药，化学创新药、高端新型制剂、</w:t>
      </w:r>
      <w:r>
        <w:rPr>
          <w:rFonts w:eastAsia="仿宋_GB2312"/>
          <w:sz w:val="32"/>
          <w:szCs w:val="32"/>
        </w:rPr>
        <w:t>特色原料药</w:t>
      </w:r>
      <w:r>
        <w:rPr>
          <w:rFonts w:hint="default" w:eastAsia="仿宋_GB2312"/>
          <w:sz w:val="32"/>
          <w:szCs w:val="32"/>
          <w:lang w:eastAsia="zh-CN"/>
        </w:rPr>
        <w:t>和中间体等创新药研发。</w:t>
      </w:r>
    </w:p>
    <w:p w14:paraId="6D39BB41">
      <w:pPr>
        <w:keepNext w:val="0"/>
        <w:keepLines w:val="0"/>
        <w:pageBreakBefore w:val="0"/>
        <w:widowControl w:val="0"/>
        <w:kinsoku/>
        <w:wordWrap/>
        <w:overflowPunct/>
        <w:topLinePunct w:val="0"/>
        <w:autoSpaceDE/>
        <w:autoSpaceDN/>
        <w:bidi w:val="0"/>
        <w:adjustRightInd/>
        <w:snapToGrid/>
        <w:spacing w:line="480" w:lineRule="exact"/>
        <w:ind w:firstLine="643" w:firstLineChars="200"/>
        <w:textAlignment w:val="auto"/>
        <w:rPr>
          <w:rFonts w:hint="default" w:ascii="Times New Roman" w:hAnsi="Times New Roman" w:eastAsia="仿宋_GB2312" w:cs="Times New Roman"/>
          <w:b/>
          <w:bCs/>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2003生物制造</w:t>
      </w:r>
    </w:p>
    <w:p w14:paraId="0FFC7AAA">
      <w:pPr>
        <w:keepNext w:val="0"/>
        <w:keepLines w:val="0"/>
        <w:pageBreakBefore w:val="0"/>
        <w:widowControl w:val="0"/>
        <w:kinsoku/>
        <w:wordWrap/>
        <w:overflowPunct/>
        <w:topLinePunct w:val="0"/>
        <w:autoSpaceDE/>
        <w:autoSpaceDN/>
        <w:bidi w:val="0"/>
        <w:adjustRightInd/>
        <w:snapToGrid/>
        <w:spacing w:line="520" w:lineRule="exact"/>
        <w:ind w:firstLine="643" w:firstLineChars="200"/>
        <w:jc w:val="both"/>
        <w:textAlignment w:val="auto"/>
        <w:rPr>
          <w:rFonts w:hint="default" w:eastAsia="黑体"/>
          <w:sz w:val="32"/>
          <w:szCs w:val="32"/>
        </w:rPr>
      </w:pPr>
      <w:r>
        <w:rPr>
          <w:rFonts w:hint="default" w:eastAsia="仿宋_GB2312"/>
          <w:b/>
          <w:bCs/>
          <w:sz w:val="32"/>
          <w:szCs w:val="32"/>
          <w:lang w:val="en-US" w:eastAsia="zh-CN"/>
        </w:rPr>
        <w:t>研究内容：</w:t>
      </w:r>
      <w:r>
        <w:rPr>
          <w:rFonts w:hint="default" w:eastAsia="仿宋_GB2312"/>
          <w:b w:val="0"/>
          <w:bCs w:val="0"/>
          <w:sz w:val="32"/>
          <w:szCs w:val="32"/>
          <w:lang w:val="en-US" w:eastAsia="zh-CN"/>
        </w:rPr>
        <w:t>顺应全球生物技术加速演进趋势，聚焦合成生物学、发酵工程两大方向，重点开展（1）</w:t>
      </w:r>
      <w:r>
        <w:rPr>
          <w:rFonts w:hint="default" w:eastAsia="仿宋_GB2312"/>
          <w:bCs/>
          <w:color w:val="auto"/>
          <w:sz w:val="32"/>
          <w:szCs w:val="32"/>
          <w:highlight w:val="none"/>
          <w:lang w:val="en-US" w:eastAsia="zh-CN"/>
        </w:rPr>
        <w:t>新型聚合材料、高性能蛋白、活体功能材料等生物基材料研发；（2）母乳寡糖、乳品益生菌等保健品原料和化妆品原料的生物合成技术研发；（3）生物反应器配套传感器、发酵产物分离纯化装备、药物晶型智能反馈控制等核心设备和关键技术研发。</w:t>
      </w:r>
    </w:p>
    <w:p w14:paraId="32CFDC67">
      <w:pPr>
        <w:keepNext w:val="0"/>
        <w:keepLines w:val="0"/>
        <w:pageBreakBefore w:val="0"/>
        <w:widowControl w:val="0"/>
        <w:kinsoku/>
        <w:wordWrap/>
        <w:overflowPunct/>
        <w:topLinePunct w:val="0"/>
        <w:autoSpaceDE/>
        <w:autoSpaceDN/>
        <w:bidi w:val="0"/>
        <w:adjustRightInd/>
        <w:snapToGrid/>
        <w:spacing w:line="480" w:lineRule="exact"/>
        <w:ind w:firstLine="643" w:firstLineChars="200"/>
        <w:textAlignment w:val="auto"/>
        <w:rPr>
          <w:rFonts w:hint="default" w:ascii="Times New Roman" w:hAnsi="Times New Roman" w:eastAsia="仿宋_GB2312" w:cs="Times New Roman"/>
          <w:b/>
          <w:bCs/>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2004 人工智能和具身智能</w:t>
      </w:r>
    </w:p>
    <w:p w14:paraId="55DA9693">
      <w:pPr>
        <w:keepNext w:val="0"/>
        <w:keepLines w:val="0"/>
        <w:pageBreakBefore w:val="0"/>
        <w:kinsoku/>
        <w:wordWrap/>
        <w:overflowPunct/>
        <w:topLinePunct w:val="0"/>
        <w:autoSpaceDE/>
        <w:autoSpaceDN/>
        <w:bidi w:val="0"/>
        <w:spacing w:line="480" w:lineRule="exact"/>
        <w:ind w:firstLine="643" w:firstLineChars="200"/>
        <w:textAlignment w:val="auto"/>
        <w:rPr>
          <w:rFonts w:hint="default" w:eastAsia="仿宋_GB2312"/>
          <w:b w:val="0"/>
          <w:bCs w:val="0"/>
          <w:sz w:val="32"/>
          <w:szCs w:val="32"/>
          <w:lang w:val="en-US" w:eastAsia="zh-CN"/>
        </w:rPr>
      </w:pPr>
      <w:r>
        <w:rPr>
          <w:rFonts w:hint="default" w:eastAsia="仿宋_GB2312"/>
          <w:b/>
          <w:bCs/>
          <w:sz w:val="32"/>
          <w:szCs w:val="32"/>
          <w:lang w:val="en-US" w:eastAsia="zh-CN"/>
        </w:rPr>
        <w:t>研究内容：</w:t>
      </w:r>
      <w:r>
        <w:rPr>
          <w:rFonts w:hint="default" w:eastAsia="仿宋_GB2312"/>
          <w:b w:val="0"/>
          <w:bCs w:val="0"/>
          <w:sz w:val="32"/>
          <w:szCs w:val="32"/>
          <w:lang w:val="en-US" w:eastAsia="zh-CN"/>
        </w:rPr>
        <w:t>面向各行业“人工智能+”需求，提升大模型动态数据理解、场景深度适配、效能安全可靠能力，在科研、工业、医疗、消费等领域示范应用需要，重点开展（1）药物研发、材料设计、工业仿真、科研进展综述等AI+科研大模型研发；制造业、教育、医疗、文旅、金融等垂直领域大模型研发；大语言模型、多模态大模型等通用大模型优化技术研发；人工智能编译器、多智能体系统、分布式训练系统、自主可控人工智能平台等研发；（2）人工智能在智能制造、自动驾驶、智慧城市与安防、医疗健康、能源与环保、教育、农业、金融科技、政务服务、零售电商等领域的智能终端应用产品研发；（3）</w:t>
      </w:r>
      <w:r>
        <w:rPr>
          <w:rFonts w:hint="default" w:eastAsia="仿宋_GB2312"/>
          <w:bCs/>
          <w:color w:val="auto"/>
          <w:sz w:val="32"/>
          <w:szCs w:val="32"/>
          <w:highlight w:val="none"/>
          <w:lang w:val="en-US" w:eastAsia="zh-CN"/>
        </w:rPr>
        <w:t>高保真虚拟场景生成与仿真、具身智能操作系统、机器人自主决策与规划、多模态感知与环境建模、仿生运动行为表征等“大脑、小脑”关键技术研发；</w:t>
      </w:r>
      <w:r>
        <w:rPr>
          <w:rFonts w:hint="default" w:eastAsia="仿宋_GB2312"/>
          <w:b w:val="0"/>
          <w:bCs w:val="0"/>
          <w:sz w:val="32"/>
          <w:szCs w:val="32"/>
          <w:lang w:val="en-US" w:eastAsia="zh-CN"/>
        </w:rPr>
        <w:t>（4）刚柔耦合仿生传动、高紧凑机器人四肢结构、灵巧手设计等“肢体”关键技术研发；（5）视、听、力、嗅、触等高精度传感器、柔性电子皮肤、高功率密度执行器、高功率多传输的柔性传输线缆等核心零部件技术研发。</w:t>
      </w:r>
    </w:p>
    <w:p w14:paraId="1C2226F6">
      <w:pPr>
        <w:keepNext w:val="0"/>
        <w:keepLines w:val="0"/>
        <w:pageBreakBefore w:val="0"/>
        <w:widowControl w:val="0"/>
        <w:kinsoku/>
        <w:wordWrap/>
        <w:overflowPunct/>
        <w:topLinePunct w:val="0"/>
        <w:autoSpaceDE/>
        <w:autoSpaceDN/>
        <w:bidi w:val="0"/>
        <w:adjustRightInd/>
        <w:snapToGrid/>
        <w:spacing w:line="480" w:lineRule="exact"/>
        <w:ind w:firstLine="643" w:firstLineChars="200"/>
        <w:textAlignment w:val="auto"/>
        <w:rPr>
          <w:rFonts w:hint="default" w:ascii="Times New Roman" w:hAnsi="Times New Roman" w:eastAsia="仿宋_GB2312" w:cs="Times New Roman"/>
          <w:b/>
          <w:bCs/>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2005 商业航天及低空经济</w:t>
      </w:r>
    </w:p>
    <w:p w14:paraId="4A15B01B">
      <w:pPr>
        <w:keepNext w:val="0"/>
        <w:keepLines w:val="0"/>
        <w:pageBreakBefore w:val="0"/>
        <w:kinsoku/>
        <w:wordWrap/>
        <w:overflowPunct/>
        <w:topLinePunct w:val="0"/>
        <w:autoSpaceDE/>
        <w:autoSpaceDN/>
        <w:bidi w:val="0"/>
        <w:spacing w:line="480" w:lineRule="exact"/>
        <w:ind w:firstLine="643" w:firstLineChars="200"/>
        <w:textAlignment w:val="auto"/>
        <w:rPr>
          <w:rFonts w:hint="default" w:eastAsia="黑体" w:cs="Times New Roman"/>
          <w:sz w:val="30"/>
          <w:szCs w:val="30"/>
          <w:highlight w:val="none"/>
          <w:lang w:val="en-US" w:eastAsia="zh-CN"/>
        </w:rPr>
      </w:pPr>
      <w:r>
        <w:rPr>
          <w:rFonts w:hint="default" w:eastAsia="仿宋_GB2312"/>
          <w:b/>
          <w:bCs/>
          <w:sz w:val="32"/>
          <w:szCs w:val="32"/>
          <w:lang w:val="en-US" w:eastAsia="zh-CN"/>
        </w:rPr>
        <w:t>研究内容：</w:t>
      </w:r>
      <w:r>
        <w:rPr>
          <w:rFonts w:hint="default" w:eastAsia="仿宋_GB2312"/>
          <w:sz w:val="32"/>
          <w:szCs w:val="32"/>
        </w:rPr>
        <w:t>面向</w:t>
      </w:r>
      <w:r>
        <w:rPr>
          <w:rFonts w:hint="default" w:eastAsia="仿宋_GB2312"/>
          <w:sz w:val="32"/>
          <w:szCs w:val="32"/>
          <w:lang w:eastAsia="zh-CN"/>
        </w:rPr>
        <w:t>液体运载火箭、卫星核心部件与载荷、航空航天新材料、卫星互联网应用等产业发展需要，</w:t>
      </w:r>
      <w:r>
        <w:rPr>
          <w:rFonts w:hint="default" w:eastAsia="仿宋_GB2312"/>
          <w:b w:val="0"/>
          <w:bCs w:val="0"/>
          <w:sz w:val="32"/>
          <w:szCs w:val="32"/>
          <w:lang w:val="en-US" w:eastAsia="zh-CN"/>
        </w:rPr>
        <w:t>重点开展（1）</w:t>
      </w:r>
      <w:r>
        <w:rPr>
          <w:rFonts w:hint="default" w:eastAsia="仿宋_GB2312"/>
          <w:bCs/>
          <w:color w:val="auto"/>
          <w:sz w:val="32"/>
          <w:szCs w:val="32"/>
          <w:highlight w:val="none"/>
          <w:lang w:val="en-US" w:eastAsia="zh-CN"/>
        </w:rPr>
        <w:t>多旋翼、复合翼、仿生扑翼等新型工业无人机、电动垂直起降航空器（EVTOL）等整机制造技术研发；（2）卫星核心部件，</w:t>
      </w:r>
      <w:r>
        <w:rPr>
          <w:rFonts w:eastAsia="仿宋_GB2312"/>
          <w:sz w:val="32"/>
          <w:szCs w:val="32"/>
          <w:highlight w:val="none"/>
        </w:rPr>
        <w:t>液体火箭发动机、航空液压系统配件</w:t>
      </w:r>
      <w:r>
        <w:rPr>
          <w:rFonts w:hint="default" w:eastAsia="仿宋_GB2312"/>
          <w:sz w:val="32"/>
          <w:szCs w:val="32"/>
          <w:highlight w:val="none"/>
        </w:rPr>
        <w:t>，低空经济、</w:t>
      </w:r>
      <w:r>
        <w:rPr>
          <w:rFonts w:eastAsia="仿宋_GB2312"/>
          <w:sz w:val="32"/>
          <w:szCs w:val="32"/>
          <w:highlight w:val="none"/>
        </w:rPr>
        <w:t>航空航天装备通用</w:t>
      </w:r>
      <w:r>
        <w:rPr>
          <w:rFonts w:hint="default" w:eastAsia="仿宋_GB2312"/>
          <w:sz w:val="32"/>
          <w:szCs w:val="32"/>
          <w:highlight w:val="none"/>
          <w:lang w:eastAsia="zh-CN"/>
        </w:rPr>
        <w:t>关键</w:t>
      </w:r>
      <w:r>
        <w:rPr>
          <w:rFonts w:eastAsia="仿宋_GB2312"/>
          <w:sz w:val="32"/>
          <w:szCs w:val="32"/>
          <w:highlight w:val="none"/>
        </w:rPr>
        <w:t>零部件</w:t>
      </w:r>
      <w:r>
        <w:rPr>
          <w:rFonts w:hint="default" w:eastAsia="仿宋_GB2312"/>
          <w:sz w:val="32"/>
          <w:szCs w:val="32"/>
          <w:highlight w:val="none"/>
          <w:lang w:eastAsia="zh-CN"/>
        </w:rPr>
        <w:t>研发；（</w:t>
      </w:r>
      <w:r>
        <w:rPr>
          <w:rFonts w:hint="default" w:eastAsia="仿宋_GB2312"/>
          <w:sz w:val="32"/>
          <w:szCs w:val="32"/>
          <w:highlight w:val="none"/>
          <w:lang w:val="en-US" w:eastAsia="zh-CN"/>
        </w:rPr>
        <w:t>3</w:t>
      </w:r>
      <w:r>
        <w:rPr>
          <w:rFonts w:hint="default" w:eastAsia="仿宋_GB2312"/>
          <w:sz w:val="32"/>
          <w:szCs w:val="32"/>
          <w:highlight w:val="none"/>
          <w:lang w:eastAsia="zh-CN"/>
        </w:rPr>
        <w:t>）大运力液体火箭可重复使用技术，火箭回收着陆等关键技术研发。</w:t>
      </w:r>
    </w:p>
    <w:p w14:paraId="5014A26A">
      <w:pPr>
        <w:keepNext w:val="0"/>
        <w:keepLines w:val="0"/>
        <w:pageBreakBefore w:val="0"/>
        <w:widowControl w:val="0"/>
        <w:kinsoku/>
        <w:wordWrap/>
        <w:overflowPunct/>
        <w:topLinePunct w:val="0"/>
        <w:autoSpaceDE/>
        <w:autoSpaceDN/>
        <w:bidi w:val="0"/>
        <w:adjustRightInd/>
        <w:snapToGrid/>
        <w:spacing w:line="480" w:lineRule="exact"/>
        <w:ind w:firstLine="643" w:firstLineChars="200"/>
        <w:textAlignment w:val="auto"/>
        <w:rPr>
          <w:rFonts w:hint="default" w:ascii="Times New Roman" w:hAnsi="Times New Roman" w:eastAsia="仿宋_GB2312" w:cs="Times New Roman"/>
          <w:b/>
          <w:bCs/>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2006 先进材料</w:t>
      </w:r>
    </w:p>
    <w:p w14:paraId="1B8DC70F">
      <w:pPr>
        <w:keepNext w:val="0"/>
        <w:keepLines w:val="0"/>
        <w:pageBreakBefore w:val="0"/>
        <w:kinsoku/>
        <w:wordWrap/>
        <w:overflowPunct/>
        <w:topLinePunct w:val="0"/>
        <w:autoSpaceDE/>
        <w:autoSpaceDN/>
        <w:bidi w:val="0"/>
        <w:spacing w:line="480" w:lineRule="exact"/>
        <w:ind w:firstLine="643" w:firstLineChars="200"/>
        <w:textAlignment w:val="auto"/>
        <w:rPr>
          <w:rFonts w:hint="default" w:eastAsia="仿宋_GB2312"/>
          <w:sz w:val="32"/>
          <w:szCs w:val="32"/>
          <w:lang w:val="en-US" w:eastAsia="zh-CN"/>
        </w:rPr>
      </w:pPr>
      <w:r>
        <w:rPr>
          <w:rFonts w:hint="default" w:eastAsia="仿宋_GB2312"/>
          <w:b/>
          <w:bCs/>
          <w:sz w:val="32"/>
          <w:szCs w:val="32"/>
          <w:lang w:val="en-US" w:eastAsia="zh-CN"/>
        </w:rPr>
        <w:t>研究内容：</w:t>
      </w:r>
      <w:r>
        <w:rPr>
          <w:rFonts w:hint="default" w:eastAsia="仿宋_GB2312"/>
          <w:sz w:val="32"/>
          <w:szCs w:val="32"/>
          <w:lang w:val="en-US" w:eastAsia="zh-CN"/>
        </w:rPr>
        <w:t>面向汽车、航空航天、海洋工程、轨道交通、能源环境、先进制造业等发展需要，重点开展（1）超高强度钢、超超临界耐热钢、耐辐照钢、耐腐蚀钢、超低温韧性钢、高强塑性冷变形用钢等高端特殊钢研发；高熵合金、高性能铝合金、高强高韧钛合金、高品质粉末冶金等高端合金及构件研发；（2）离子交换膜、中空纤维膜、液晶高分子膜等高端膜材料研发；高弹性、耐磨性、耐热性等特种高分子及功能性高分子材料研发；高/低温超导材料、超导磁体、智能材料、仿生材料、超材料等前沿材料研发；（3）高强高模高韧碳纤维、高性能陶瓷纤维、聚酰亚胺纤维等高性能纤维及复合材料；新型稀土功能材料、生物基可降解塑料及助剂、相变储能材料、增材制造用材料、金属有机框架（MOF）等新型材料研发；（4）</w:t>
      </w:r>
      <w:r>
        <w:rPr>
          <w:rFonts w:eastAsia="仿宋_GB2312"/>
          <w:sz w:val="32"/>
          <w:szCs w:val="32"/>
        </w:rPr>
        <w:t>特种聚酯、长链尼龙及其改性材料、橡塑助剂材料、环境友好性材料、甲基纤维素</w:t>
      </w:r>
      <w:r>
        <w:rPr>
          <w:rFonts w:hint="default" w:eastAsia="仿宋_GB2312"/>
          <w:sz w:val="32"/>
          <w:szCs w:val="32"/>
          <w:lang w:eastAsia="zh-CN"/>
        </w:rPr>
        <w:t>等</w:t>
      </w:r>
      <w:r>
        <w:rPr>
          <w:rFonts w:eastAsia="仿宋_GB2312"/>
          <w:sz w:val="32"/>
          <w:szCs w:val="32"/>
        </w:rPr>
        <w:t>高端功能性新材料</w:t>
      </w:r>
      <w:r>
        <w:rPr>
          <w:rFonts w:hint="default" w:eastAsia="仿宋_GB2312"/>
          <w:sz w:val="32"/>
          <w:szCs w:val="32"/>
          <w:lang w:eastAsia="zh-CN"/>
        </w:rPr>
        <w:t>研发</w:t>
      </w:r>
      <w:r>
        <w:rPr>
          <w:rFonts w:hint="default" w:eastAsia="仿宋_GB2312"/>
          <w:sz w:val="32"/>
          <w:szCs w:val="32"/>
        </w:rPr>
        <w:t>。</w:t>
      </w:r>
    </w:p>
    <w:p w14:paraId="68F9704F">
      <w:pPr>
        <w:keepNext w:val="0"/>
        <w:keepLines w:val="0"/>
        <w:pageBreakBefore w:val="0"/>
        <w:widowControl w:val="0"/>
        <w:kinsoku/>
        <w:wordWrap/>
        <w:overflowPunct/>
        <w:topLinePunct w:val="0"/>
        <w:autoSpaceDE/>
        <w:autoSpaceDN/>
        <w:bidi w:val="0"/>
        <w:adjustRightInd/>
        <w:snapToGrid/>
        <w:spacing w:line="480" w:lineRule="exact"/>
        <w:ind w:firstLine="643" w:firstLineChars="200"/>
        <w:textAlignment w:val="auto"/>
        <w:rPr>
          <w:rFonts w:hint="default" w:ascii="Times New Roman" w:hAnsi="Times New Roman" w:eastAsia="仿宋_GB2312" w:cs="Times New Roman"/>
          <w:b/>
          <w:bCs/>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2007 高端装备制造</w:t>
      </w:r>
    </w:p>
    <w:p w14:paraId="5F4C8E1A">
      <w:pPr>
        <w:keepNext w:val="0"/>
        <w:keepLines w:val="0"/>
        <w:pageBreakBefore w:val="0"/>
        <w:kinsoku/>
        <w:wordWrap/>
        <w:overflowPunct/>
        <w:topLinePunct w:val="0"/>
        <w:autoSpaceDE/>
        <w:autoSpaceDN/>
        <w:bidi w:val="0"/>
        <w:spacing w:line="480" w:lineRule="exact"/>
        <w:ind w:firstLine="643" w:firstLineChars="200"/>
        <w:textAlignment w:val="auto"/>
        <w:rPr>
          <w:rFonts w:hint="default" w:eastAsia="仿宋_GB2312"/>
          <w:sz w:val="32"/>
          <w:szCs w:val="32"/>
          <w:lang w:val="en-US" w:eastAsia="zh-CN"/>
        </w:rPr>
      </w:pPr>
      <w:r>
        <w:rPr>
          <w:rFonts w:hint="default" w:eastAsia="仿宋_GB2312"/>
          <w:b/>
          <w:bCs/>
          <w:sz w:val="32"/>
          <w:szCs w:val="32"/>
          <w:lang w:val="en-US" w:eastAsia="zh-CN"/>
        </w:rPr>
        <w:t>研究内容：</w:t>
      </w:r>
      <w:r>
        <w:rPr>
          <w:rFonts w:hint="default" w:eastAsia="仿宋_GB2312"/>
          <w:b w:val="0"/>
          <w:bCs w:val="0"/>
          <w:sz w:val="32"/>
          <w:szCs w:val="32"/>
          <w:lang w:val="en-US" w:eastAsia="zh-CN"/>
        </w:rPr>
        <w:t>面向未来制造高端化、智能化、绿色化发展需求，</w:t>
      </w:r>
      <w:r>
        <w:rPr>
          <w:rFonts w:hint="default" w:eastAsia="仿宋_GB2312"/>
          <w:sz w:val="32"/>
          <w:szCs w:val="32"/>
          <w:lang w:val="en-US" w:eastAsia="zh-CN"/>
        </w:rPr>
        <w:t>重点开展（1）新型加工技术与装备，超精密机床及关键核心部件，高性能五轴联动加工中心、增材制造装备等高端加工装备及关键核心部件，智能数控系统研发；（2）智能仓储、智能搬运、智能分拣等智能物流装备及关键核心部件，其他面向重点产业的智能制造装备及关键核心部件研发；（3）</w:t>
      </w:r>
      <w:r>
        <w:rPr>
          <w:rFonts w:hint="default" w:eastAsia="仿宋_GB2312"/>
          <w:sz w:val="32"/>
          <w:szCs w:val="32"/>
        </w:rPr>
        <w:t>精密</w:t>
      </w:r>
      <w:r>
        <w:rPr>
          <w:rFonts w:eastAsia="仿宋_GB2312"/>
          <w:sz w:val="32"/>
          <w:szCs w:val="32"/>
        </w:rPr>
        <w:t>及超精密加工、高速高精切削磨削、微纳跨尺度制造、多工艺复合加工、高精度光学器件加工、增压燃烧（PGC）等先进制造工艺及装备关键技术研发</w:t>
      </w:r>
      <w:r>
        <w:rPr>
          <w:rFonts w:hint="default" w:eastAsia="仿宋_GB2312"/>
          <w:sz w:val="32"/>
          <w:szCs w:val="32"/>
        </w:rPr>
        <w:t>。（4）先进核能系统与装备研制。</w:t>
      </w:r>
    </w:p>
    <w:p w14:paraId="302E2402">
      <w:pPr>
        <w:keepNext w:val="0"/>
        <w:keepLines w:val="0"/>
        <w:pageBreakBefore w:val="0"/>
        <w:widowControl w:val="0"/>
        <w:kinsoku/>
        <w:wordWrap/>
        <w:overflowPunct/>
        <w:topLinePunct w:val="0"/>
        <w:autoSpaceDE/>
        <w:autoSpaceDN/>
        <w:bidi w:val="0"/>
        <w:adjustRightInd/>
        <w:snapToGrid/>
        <w:spacing w:line="480" w:lineRule="exact"/>
        <w:ind w:firstLine="643" w:firstLineChars="200"/>
        <w:textAlignment w:val="auto"/>
        <w:rPr>
          <w:rFonts w:hint="default" w:ascii="Times New Roman" w:hAnsi="Times New Roman" w:eastAsia="仿宋_GB2312" w:cs="Times New Roman"/>
          <w:b/>
          <w:bCs/>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2008 新能源与新能源汽车</w:t>
      </w:r>
    </w:p>
    <w:p w14:paraId="19E4321C">
      <w:pPr>
        <w:keepNext w:val="0"/>
        <w:keepLines w:val="0"/>
        <w:pageBreakBefore w:val="0"/>
        <w:kinsoku/>
        <w:wordWrap/>
        <w:overflowPunct/>
        <w:topLinePunct w:val="0"/>
        <w:autoSpaceDE/>
        <w:autoSpaceDN/>
        <w:bidi w:val="0"/>
        <w:spacing w:line="480" w:lineRule="exact"/>
        <w:ind w:firstLine="643" w:firstLineChars="200"/>
        <w:textAlignment w:val="auto"/>
        <w:rPr>
          <w:rFonts w:hint="eastAsia" w:eastAsia="黑体" w:cs="Times New Roman"/>
          <w:sz w:val="30"/>
          <w:szCs w:val="30"/>
          <w:highlight w:val="none"/>
          <w:lang w:val="en-US" w:eastAsia="zh-CN"/>
        </w:rPr>
      </w:pPr>
      <w:r>
        <w:rPr>
          <w:rFonts w:hint="default" w:eastAsia="仿宋_GB2312"/>
          <w:b/>
          <w:bCs/>
          <w:sz w:val="32"/>
          <w:szCs w:val="32"/>
          <w:lang w:val="en-US" w:eastAsia="zh-CN"/>
        </w:rPr>
        <w:t>研究内容：</w:t>
      </w:r>
      <w:r>
        <w:rPr>
          <w:rFonts w:hint="default" w:eastAsia="仿宋_GB2312"/>
          <w:b w:val="0"/>
          <w:bCs w:val="0"/>
          <w:sz w:val="32"/>
          <w:szCs w:val="32"/>
          <w:lang w:val="en-US" w:eastAsia="zh-CN"/>
        </w:rPr>
        <w:t>围绕储能和动力电池、氢能、新能源汽车等产业创新发展需要，</w:t>
      </w:r>
      <w:r>
        <w:rPr>
          <w:rFonts w:hint="default" w:eastAsia="仿宋_GB2312"/>
          <w:sz w:val="32"/>
          <w:szCs w:val="32"/>
          <w:lang w:val="en-US" w:eastAsia="zh-CN"/>
        </w:rPr>
        <w:t>重点开展（1）基于硫化物、氧化物、聚合物等固态电解质的固态电池及固液态电池技术，压缩空气、压缩碳储能、液流电池、重力储能、飞轮储能、储热和储冷等超长时储能技术，新型锂电池、钠离子电池、水系锌电池等中长时储能技术，超级电容器、液态金属、超导储能、金属空气电池、三元锂电芯材料等高能量密度储能技术研发；（2）可再生能源、质子交换膜、固体氧化物、无膜电解水、含氢化合物制氢等绿色高效制氢技术及其装备，高安全性高压气态、固体材料、有机液体、玻璃纤维管储氢等安全致密储氢装备，大规模管道输氢、掺氢天然气等氢气输运技术，氢冶炼、氢能热机、氢燃料电池、氢电耦合微网等氢能多元化利用技术研发；（3）新能源汽车“三电”系统、高压直流技术与产品、自动变速控制系统等研发；高算力车规级计算芯片、跨域融合域控制器、智慧座舱、电子液压制动系统（EHB）、线控底盘及底盘综合控制、智能车身电子系统和安全系统等汽车电子产品研发。</w:t>
      </w:r>
    </w:p>
    <w:p w14:paraId="677352E4">
      <w:pPr>
        <w:keepNext w:val="0"/>
        <w:keepLines w:val="0"/>
        <w:pageBreakBefore w:val="0"/>
        <w:widowControl/>
        <w:numPr>
          <w:ilvl w:val="0"/>
          <w:numId w:val="0"/>
        </w:numPr>
        <w:kinsoku/>
        <w:wordWrap/>
        <w:overflowPunct/>
        <w:topLinePunct w:val="0"/>
        <w:autoSpaceDE/>
        <w:autoSpaceDN/>
        <w:bidi w:val="0"/>
        <w:adjustRightInd/>
        <w:snapToGrid/>
        <w:spacing w:line="480" w:lineRule="exact"/>
        <w:ind w:firstLine="600" w:firstLineChars="200"/>
        <w:jc w:val="both"/>
        <w:textAlignment w:val="auto"/>
        <w:rPr>
          <w:rFonts w:hint="default" w:eastAsia="黑体" w:cs="Times New Roman"/>
          <w:sz w:val="30"/>
          <w:szCs w:val="30"/>
          <w:highlight w:val="none"/>
          <w:lang w:val="en-US" w:eastAsia="zh-CN"/>
        </w:rPr>
      </w:pPr>
      <w:r>
        <w:rPr>
          <w:rFonts w:hint="eastAsia" w:eastAsia="黑体" w:cs="Times New Roman"/>
          <w:sz w:val="30"/>
          <w:szCs w:val="30"/>
          <w:highlight w:val="none"/>
          <w:lang w:val="en-US" w:eastAsia="zh-CN"/>
        </w:rPr>
        <w:t>二、医疗卫生科技创新指导性项目</w:t>
      </w:r>
    </w:p>
    <w:p w14:paraId="03171117">
      <w:pPr>
        <w:keepNext w:val="0"/>
        <w:keepLines w:val="0"/>
        <w:pageBreakBefore w:val="0"/>
        <w:widowControl w:val="0"/>
        <w:kinsoku/>
        <w:wordWrap/>
        <w:overflowPunct/>
        <w:topLinePunct w:val="0"/>
        <w:autoSpaceDE/>
        <w:autoSpaceDN/>
        <w:bidi w:val="0"/>
        <w:adjustRightInd/>
        <w:snapToGrid/>
        <w:spacing w:line="480" w:lineRule="exact"/>
        <w:ind w:firstLine="643" w:firstLineChars="200"/>
        <w:textAlignment w:val="auto"/>
        <w:rPr>
          <w:rFonts w:hint="default" w:ascii="Times New Roman" w:hAnsi="Times New Roman" w:eastAsia="仿宋_GB2312" w:cs="Times New Roman"/>
          <w:color w:val="auto"/>
          <w:sz w:val="32"/>
          <w:szCs w:val="32"/>
        </w:rPr>
      </w:pPr>
      <w:r>
        <w:rPr>
          <w:rFonts w:hint="eastAsia" w:eastAsia="仿宋_GB2312" w:cs="Times New Roman"/>
          <w:b/>
          <w:bCs/>
          <w:sz w:val="32"/>
          <w:szCs w:val="32"/>
          <w:highlight w:val="none"/>
          <w:lang w:val="en-US" w:eastAsia="zh-CN"/>
        </w:rPr>
        <w:t>3</w:t>
      </w:r>
      <w:r>
        <w:rPr>
          <w:rFonts w:hint="default" w:ascii="Times New Roman" w:hAnsi="Times New Roman" w:eastAsia="仿宋_GB2312" w:cs="Times New Roman"/>
          <w:b/>
          <w:bCs/>
          <w:sz w:val="32"/>
          <w:szCs w:val="32"/>
          <w:highlight w:val="none"/>
          <w:lang w:val="en-US" w:eastAsia="zh-CN"/>
        </w:rPr>
        <w:t xml:space="preserve">001 </w:t>
      </w:r>
      <w:r>
        <w:rPr>
          <w:rFonts w:hint="default" w:ascii="Times New Roman" w:hAnsi="Times New Roman" w:eastAsia="仿宋_GB2312" w:cs="Times New Roman"/>
          <w:color w:val="auto"/>
          <w:sz w:val="32"/>
          <w:szCs w:val="32"/>
        </w:rPr>
        <w:t>妇女儿童常见病有效预防与治疗方法的应用研究</w:t>
      </w:r>
    </w:p>
    <w:p w14:paraId="5DB8FAAC">
      <w:pPr>
        <w:keepNext w:val="0"/>
        <w:keepLines w:val="0"/>
        <w:pageBreakBefore w:val="0"/>
        <w:widowControl w:val="0"/>
        <w:kinsoku/>
        <w:wordWrap/>
        <w:overflowPunct/>
        <w:topLinePunct w:val="0"/>
        <w:autoSpaceDE/>
        <w:autoSpaceDN/>
        <w:bidi w:val="0"/>
        <w:adjustRightInd/>
        <w:snapToGrid/>
        <w:spacing w:line="480" w:lineRule="exact"/>
        <w:ind w:firstLine="643" w:firstLineChars="200"/>
        <w:textAlignment w:val="auto"/>
        <w:rPr>
          <w:rFonts w:hint="default" w:ascii="Times New Roman" w:hAnsi="Times New Roman" w:eastAsia="仿宋_GB2312" w:cs="Times New Roman"/>
          <w:color w:val="auto"/>
          <w:sz w:val="32"/>
          <w:szCs w:val="32"/>
        </w:rPr>
      </w:pPr>
      <w:r>
        <w:rPr>
          <w:rFonts w:hint="eastAsia" w:eastAsia="仿宋_GB2312" w:cs="Times New Roman"/>
          <w:b/>
          <w:bCs/>
          <w:color w:val="auto"/>
          <w:sz w:val="32"/>
          <w:szCs w:val="32"/>
          <w:lang w:val="en-US" w:eastAsia="zh-CN"/>
        </w:rPr>
        <w:t>3</w:t>
      </w:r>
      <w:r>
        <w:rPr>
          <w:rFonts w:hint="default" w:ascii="Times New Roman" w:hAnsi="Times New Roman" w:eastAsia="仿宋_GB2312" w:cs="Times New Roman"/>
          <w:b/>
          <w:bCs/>
          <w:color w:val="auto"/>
          <w:sz w:val="32"/>
          <w:szCs w:val="32"/>
        </w:rPr>
        <w:t>00</w:t>
      </w:r>
      <w:r>
        <w:rPr>
          <w:rFonts w:hint="default" w:ascii="Times New Roman" w:hAnsi="Times New Roman" w:eastAsia="仿宋_GB2312" w:cs="Times New Roman"/>
          <w:b/>
          <w:bCs/>
          <w:color w:val="auto"/>
          <w:sz w:val="32"/>
          <w:szCs w:val="32"/>
          <w:lang w:val="en-US" w:eastAsia="zh-CN"/>
        </w:rPr>
        <w:t>2</w:t>
      </w:r>
      <w:r>
        <w:rPr>
          <w:rFonts w:hint="default" w:ascii="Times New Roman" w:hAnsi="Times New Roman" w:eastAsia="仿宋_GB2312" w:cs="Times New Roman"/>
          <w:b/>
          <w:bCs/>
          <w:color w:val="auto"/>
          <w:sz w:val="32"/>
          <w:szCs w:val="32"/>
        </w:rPr>
        <w:t xml:space="preserve"> </w:t>
      </w:r>
      <w:r>
        <w:rPr>
          <w:rFonts w:hint="default" w:ascii="Times New Roman" w:hAnsi="Times New Roman" w:eastAsia="仿宋_GB2312" w:cs="Times New Roman"/>
          <w:color w:val="auto"/>
          <w:sz w:val="32"/>
          <w:szCs w:val="32"/>
        </w:rPr>
        <w:t>近年发展趋势严重的疾病防治技术应用研究</w:t>
      </w:r>
    </w:p>
    <w:p w14:paraId="6EB5CA9A">
      <w:pPr>
        <w:keepNext w:val="0"/>
        <w:keepLines w:val="0"/>
        <w:pageBreakBefore w:val="0"/>
        <w:widowControl w:val="0"/>
        <w:kinsoku/>
        <w:wordWrap/>
        <w:overflowPunct/>
        <w:topLinePunct w:val="0"/>
        <w:autoSpaceDE/>
        <w:autoSpaceDN/>
        <w:bidi w:val="0"/>
        <w:adjustRightInd/>
        <w:snapToGrid/>
        <w:spacing w:line="480" w:lineRule="exact"/>
        <w:ind w:firstLine="643" w:firstLineChars="200"/>
        <w:textAlignment w:val="auto"/>
        <w:rPr>
          <w:rFonts w:hint="default" w:ascii="Times New Roman" w:hAnsi="Times New Roman" w:eastAsia="仿宋_GB2312" w:cs="Times New Roman"/>
          <w:color w:val="auto"/>
          <w:sz w:val="32"/>
          <w:szCs w:val="32"/>
        </w:rPr>
      </w:pPr>
      <w:r>
        <w:rPr>
          <w:rFonts w:hint="eastAsia" w:eastAsia="仿宋_GB2312" w:cs="Times New Roman"/>
          <w:b/>
          <w:bCs/>
          <w:color w:val="auto"/>
          <w:sz w:val="32"/>
          <w:szCs w:val="32"/>
          <w:lang w:val="en-US" w:eastAsia="zh-CN"/>
        </w:rPr>
        <w:t>3</w:t>
      </w:r>
      <w:r>
        <w:rPr>
          <w:rFonts w:hint="default" w:ascii="Times New Roman" w:hAnsi="Times New Roman" w:eastAsia="仿宋_GB2312" w:cs="Times New Roman"/>
          <w:b/>
          <w:bCs/>
          <w:color w:val="auto"/>
          <w:sz w:val="32"/>
          <w:szCs w:val="32"/>
        </w:rPr>
        <w:t>00</w:t>
      </w:r>
      <w:r>
        <w:rPr>
          <w:rFonts w:hint="default" w:ascii="Times New Roman" w:hAnsi="Times New Roman" w:eastAsia="仿宋_GB2312" w:cs="Times New Roman"/>
          <w:b/>
          <w:bCs/>
          <w:color w:val="auto"/>
          <w:sz w:val="32"/>
          <w:szCs w:val="32"/>
          <w:lang w:val="en-US" w:eastAsia="zh-CN"/>
        </w:rPr>
        <w:t>3</w:t>
      </w:r>
      <w:r>
        <w:rPr>
          <w:rFonts w:hint="default" w:ascii="Times New Roman" w:hAnsi="Times New Roman" w:eastAsia="仿宋_GB2312" w:cs="Times New Roman"/>
          <w:color w:val="auto"/>
          <w:sz w:val="32"/>
          <w:szCs w:val="32"/>
        </w:rPr>
        <w:t xml:space="preserve"> 护理康复关键技术应用研究</w:t>
      </w:r>
    </w:p>
    <w:p w14:paraId="66170452">
      <w:pPr>
        <w:keepNext w:val="0"/>
        <w:keepLines w:val="0"/>
        <w:pageBreakBefore w:val="0"/>
        <w:widowControl w:val="0"/>
        <w:kinsoku/>
        <w:wordWrap/>
        <w:overflowPunct/>
        <w:topLinePunct w:val="0"/>
        <w:autoSpaceDE/>
        <w:autoSpaceDN/>
        <w:bidi w:val="0"/>
        <w:adjustRightInd/>
        <w:snapToGrid/>
        <w:spacing w:line="480" w:lineRule="exact"/>
        <w:ind w:left="0" w:leftChars="0" w:firstLine="643" w:firstLineChars="200"/>
        <w:jc w:val="both"/>
        <w:textAlignment w:val="auto"/>
        <w:rPr>
          <w:rFonts w:hint="default" w:ascii="Times New Roman" w:hAnsi="Times New Roman" w:eastAsia="仿宋_GB2312" w:cs="Times New Roman"/>
          <w:color w:val="auto"/>
          <w:sz w:val="32"/>
          <w:szCs w:val="32"/>
        </w:rPr>
      </w:pPr>
      <w:r>
        <w:rPr>
          <w:rFonts w:hint="eastAsia" w:eastAsia="仿宋_GB2312" w:cs="Times New Roman"/>
          <w:b/>
          <w:bCs/>
          <w:color w:val="auto"/>
          <w:sz w:val="32"/>
          <w:szCs w:val="32"/>
          <w:lang w:val="en-US" w:eastAsia="zh-CN"/>
        </w:rPr>
        <w:t>3</w:t>
      </w:r>
      <w:r>
        <w:rPr>
          <w:rFonts w:hint="default" w:ascii="Times New Roman" w:hAnsi="Times New Roman" w:eastAsia="仿宋_GB2312" w:cs="Times New Roman"/>
          <w:b/>
          <w:bCs/>
          <w:color w:val="auto"/>
          <w:sz w:val="32"/>
          <w:szCs w:val="32"/>
        </w:rPr>
        <w:t>00</w:t>
      </w:r>
      <w:r>
        <w:rPr>
          <w:rFonts w:hint="default" w:ascii="Times New Roman" w:hAnsi="Times New Roman" w:eastAsia="仿宋_GB2312" w:cs="Times New Roman"/>
          <w:b/>
          <w:bCs/>
          <w:color w:val="auto"/>
          <w:sz w:val="32"/>
          <w:szCs w:val="32"/>
          <w:lang w:val="en-US" w:eastAsia="zh-CN"/>
        </w:rPr>
        <w:t>4</w:t>
      </w:r>
      <w:r>
        <w:rPr>
          <w:rFonts w:hint="default" w:ascii="Times New Roman" w:hAnsi="Times New Roman" w:eastAsia="仿宋_GB2312" w:cs="Times New Roman"/>
          <w:color w:val="auto"/>
          <w:sz w:val="32"/>
          <w:szCs w:val="32"/>
        </w:rPr>
        <w:t xml:space="preserve"> 亚健康状态预防与改善的综合技术措施研究</w:t>
      </w:r>
    </w:p>
    <w:p w14:paraId="693E1E67">
      <w:pPr>
        <w:keepNext w:val="0"/>
        <w:keepLines w:val="0"/>
        <w:pageBreakBefore w:val="0"/>
        <w:widowControl w:val="0"/>
        <w:kinsoku/>
        <w:wordWrap/>
        <w:overflowPunct/>
        <w:topLinePunct w:val="0"/>
        <w:autoSpaceDE/>
        <w:autoSpaceDN/>
        <w:bidi w:val="0"/>
        <w:adjustRightInd/>
        <w:snapToGrid/>
        <w:spacing w:line="510" w:lineRule="exact"/>
        <w:ind w:firstLine="640" w:firstLineChars="200"/>
        <w:textAlignment w:val="auto"/>
        <w:rPr>
          <w:rFonts w:hint="default" w:ascii="Times New Roman" w:hAnsi="Times New Roman" w:eastAsia="仿宋_GB2312" w:cs="Times New Roman"/>
          <w:color w:val="auto"/>
          <w:sz w:val="32"/>
          <w:szCs w:val="32"/>
        </w:rPr>
      </w:pPr>
    </w:p>
    <w:p w14:paraId="66F7DDBB">
      <w:pPr>
        <w:keepNext w:val="0"/>
        <w:keepLines w:val="0"/>
        <w:pageBreakBefore w:val="0"/>
        <w:widowControl/>
        <w:numPr>
          <w:ilvl w:val="0"/>
          <w:numId w:val="0"/>
        </w:numPr>
        <w:kinsoku/>
        <w:wordWrap/>
        <w:overflowPunct/>
        <w:topLinePunct w:val="0"/>
        <w:autoSpaceDE/>
        <w:autoSpaceDN/>
        <w:bidi w:val="0"/>
        <w:adjustRightInd/>
        <w:snapToGrid/>
        <w:spacing w:line="520" w:lineRule="exact"/>
        <w:jc w:val="both"/>
        <w:textAlignment w:val="auto"/>
        <w:rPr>
          <w:rFonts w:hint="default" w:eastAsia="黑体" w:cs="Times New Roman"/>
          <w:sz w:val="30"/>
          <w:szCs w:val="30"/>
          <w:highlight w:val="none"/>
          <w:lang w:val="en-US" w:eastAsia="zh-CN"/>
        </w:rPr>
      </w:pPr>
    </w:p>
    <w:p w14:paraId="6509D134">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eastAsia" w:eastAsia="仿宋_GB2312"/>
          <w:bCs/>
          <w:color w:val="auto"/>
          <w:sz w:val="32"/>
          <w:szCs w:val="32"/>
          <w:highlight w:val="none"/>
          <w:lang w:eastAsia="zh-CN"/>
        </w:rPr>
      </w:pPr>
    </w:p>
    <w:sectPr>
      <w:footerReference r:id="rId4" w:type="first"/>
      <w:footerReference r:id="rId3" w:type="default"/>
      <w:pgSz w:w="11907" w:h="16839"/>
      <w:pgMar w:top="2098" w:right="1474" w:bottom="1985" w:left="1588" w:header="851" w:footer="992" w:gutter="0"/>
      <w:pgNumType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黑体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139251">
    <w:pPr>
      <w:pStyle w:val="8"/>
      <w:jc w:val="center"/>
      <w:rPr>
        <w:sz w:val="24"/>
        <w:szCs w:val="24"/>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76835" cy="175260"/>
              <wp:effectExtent l="0" t="0" r="0" b="0"/>
              <wp:wrapNone/>
              <wp:docPr id="5" name="文本框 5"/>
              <wp:cNvGraphicFramePr/>
              <a:graphic xmlns:a="http://schemas.openxmlformats.org/drawingml/2006/main">
                <a:graphicData uri="http://schemas.microsoft.com/office/word/2010/wordprocessingShape">
                  <wps:wsp>
                    <wps:cNvSpPr txBox="1"/>
                    <wps:spPr>
                      <a:xfrm>
                        <a:off x="0" y="0"/>
                        <a:ext cx="76835" cy="175260"/>
                      </a:xfrm>
                      <a:prstGeom prst="rect">
                        <a:avLst/>
                      </a:prstGeom>
                      <a:noFill/>
                      <a:ln>
                        <a:noFill/>
                      </a:ln>
                    </wps:spPr>
                    <wps:txbx>
                      <w:txbxContent>
                        <w:p w14:paraId="65A4A0DD">
                          <w:pPr>
                            <w:pStyle w:val="8"/>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3</w:t>
                          </w:r>
                          <w:r>
                            <w:rPr>
                              <w:sz w:val="28"/>
                              <w:szCs w:val="2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3.8pt;width:6.05pt;mso-position-horizontal:center;mso-position-horizontal-relative:margin;mso-wrap-style:none;z-index:251659264;mso-width-relative:page;mso-height-relative:page;" filled="f" stroked="f" coordsize="21600,21600" o:gfxdata="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WtEccdAAAAADAQAADwAAAAAAAAABACAAAAAiAAAAZHJzL2Rvd25yZXYueG1s&#10;UEsBAhQAFAAAAAgAh07iQPPGbDrHAQAAigMAAA4AAAAAAAAAAQAgAAAAHwEAAGRycy9lMm9Eb2Mu&#10;eG1sUEsFBgAAAAAGAAYAWQEAAFgFAAAAAA==&#10;">
              <v:fill on="f" focussize="0,0"/>
              <v:stroke on="f"/>
              <v:imagedata o:title=""/>
              <o:lock v:ext="edit" aspectratio="f"/>
              <v:textbox inset="0mm,0mm,0mm,0mm" style="mso-fit-shape-to-text:t;">
                <w:txbxContent>
                  <w:p w14:paraId="65A4A0DD">
                    <w:pPr>
                      <w:pStyle w:val="8"/>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3</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851D1">
    <w:pPr>
      <w:pStyle w:val="8"/>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76835" cy="175260"/>
              <wp:effectExtent l="0" t="0" r="0" b="0"/>
              <wp:wrapNone/>
              <wp:docPr id="4" name="文本框 4"/>
              <wp:cNvGraphicFramePr/>
              <a:graphic xmlns:a="http://schemas.openxmlformats.org/drawingml/2006/main">
                <a:graphicData uri="http://schemas.microsoft.com/office/word/2010/wordprocessingShape">
                  <wps:wsp>
                    <wps:cNvSpPr txBox="1"/>
                    <wps:spPr>
                      <a:xfrm>
                        <a:off x="0" y="0"/>
                        <a:ext cx="76835" cy="175260"/>
                      </a:xfrm>
                      <a:prstGeom prst="rect">
                        <a:avLst/>
                      </a:prstGeom>
                      <a:noFill/>
                      <a:ln>
                        <a:noFill/>
                      </a:ln>
                    </wps:spPr>
                    <wps:txbx>
                      <w:txbxContent>
                        <w:p w14:paraId="1F542690">
                          <w:pPr>
                            <w:pStyle w:val="8"/>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3.8pt;width:6.05pt;mso-position-horizontal:center;mso-position-horizontal-relative:margin;mso-wrap-style:none;z-index:251660288;mso-width-relative:page;mso-height-relative:page;" filled="f" stroked="f" coordsize="21600,21600" o:gfxdata="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FrRHHHQAAAAAwEAAA8AAAAAAAAAAQAgAAAAIgAAAGRycy9kb3ducmV2Lnht&#10;bFBLAQIUABQAAAAIAIdO4kBn77yWyAEAAIoDAAAOAAAAAAAAAAEAIAAAAB8BAABkcnMvZTJvRG9j&#10;LnhtbFBLBQYAAAAABgAGAFkBAABZBQAAAAA=&#10;">
              <v:fill on="f" focussize="0,0"/>
              <v:stroke on="f"/>
              <v:imagedata o:title=""/>
              <o:lock v:ext="edit" aspectratio="f"/>
              <v:textbox inset="0mm,0mm,0mm,0mm" style="mso-fit-shape-to-text:t;">
                <w:txbxContent>
                  <w:p w14:paraId="1F542690">
                    <w:pPr>
                      <w:pStyle w:val="8"/>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C823984"/>
    <w:multiLevelType w:val="singleLevel"/>
    <w:tmpl w:val="6C823984"/>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SystemFonts/>
  <w:bordersDoNotSurroundHeader w:val="1"/>
  <w:bordersDoNotSurroundFooter w:val="1"/>
  <w:hideGrammaticalErrors/>
  <w:documentProtection w:enforcement="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ZlZmM5ZWNjNWVmZjZmOWM5ZjZhZGZmMjUxMzg0MGUifQ=="/>
  </w:docVars>
  <w:rsids>
    <w:rsidRoot w:val="00DF07FD"/>
    <w:rsid w:val="000249D1"/>
    <w:rsid w:val="00033470"/>
    <w:rsid w:val="00057C2A"/>
    <w:rsid w:val="00083306"/>
    <w:rsid w:val="00086022"/>
    <w:rsid w:val="000E518F"/>
    <w:rsid w:val="00133B4B"/>
    <w:rsid w:val="00160268"/>
    <w:rsid w:val="001869EE"/>
    <w:rsid w:val="00196408"/>
    <w:rsid w:val="001A1511"/>
    <w:rsid w:val="001D455B"/>
    <w:rsid w:val="00204B55"/>
    <w:rsid w:val="002158B5"/>
    <w:rsid w:val="00226655"/>
    <w:rsid w:val="00233E1C"/>
    <w:rsid w:val="002570B4"/>
    <w:rsid w:val="002A1DB7"/>
    <w:rsid w:val="002D3DBF"/>
    <w:rsid w:val="002E79C0"/>
    <w:rsid w:val="00303F39"/>
    <w:rsid w:val="00310EAC"/>
    <w:rsid w:val="00316A2C"/>
    <w:rsid w:val="0036297A"/>
    <w:rsid w:val="003778E3"/>
    <w:rsid w:val="003B30A8"/>
    <w:rsid w:val="003B527E"/>
    <w:rsid w:val="003C0EAF"/>
    <w:rsid w:val="0040285D"/>
    <w:rsid w:val="004249A3"/>
    <w:rsid w:val="00434295"/>
    <w:rsid w:val="00460F44"/>
    <w:rsid w:val="004D7714"/>
    <w:rsid w:val="004D7958"/>
    <w:rsid w:val="00526151"/>
    <w:rsid w:val="0053249D"/>
    <w:rsid w:val="00535211"/>
    <w:rsid w:val="00553EA5"/>
    <w:rsid w:val="00580639"/>
    <w:rsid w:val="005914DF"/>
    <w:rsid w:val="005A43D1"/>
    <w:rsid w:val="005A49A1"/>
    <w:rsid w:val="005B7D62"/>
    <w:rsid w:val="005D4E96"/>
    <w:rsid w:val="005F254A"/>
    <w:rsid w:val="005F7ED1"/>
    <w:rsid w:val="00646551"/>
    <w:rsid w:val="00661A68"/>
    <w:rsid w:val="006848EC"/>
    <w:rsid w:val="00703D0D"/>
    <w:rsid w:val="00755DF0"/>
    <w:rsid w:val="007716C5"/>
    <w:rsid w:val="00783A6F"/>
    <w:rsid w:val="007F2748"/>
    <w:rsid w:val="007F570C"/>
    <w:rsid w:val="008305E5"/>
    <w:rsid w:val="0085128D"/>
    <w:rsid w:val="00856589"/>
    <w:rsid w:val="008B3A56"/>
    <w:rsid w:val="008F4737"/>
    <w:rsid w:val="009119B0"/>
    <w:rsid w:val="00917C5D"/>
    <w:rsid w:val="00941587"/>
    <w:rsid w:val="00964FD8"/>
    <w:rsid w:val="0097631B"/>
    <w:rsid w:val="009A1D3A"/>
    <w:rsid w:val="009E47E6"/>
    <w:rsid w:val="00A05F1D"/>
    <w:rsid w:val="00A215F8"/>
    <w:rsid w:val="00A250E4"/>
    <w:rsid w:val="00A37785"/>
    <w:rsid w:val="00A4074E"/>
    <w:rsid w:val="00A5325A"/>
    <w:rsid w:val="00A64208"/>
    <w:rsid w:val="00A72B3A"/>
    <w:rsid w:val="00B06EAC"/>
    <w:rsid w:val="00B16D0B"/>
    <w:rsid w:val="00B448AC"/>
    <w:rsid w:val="00B479E1"/>
    <w:rsid w:val="00BA3C85"/>
    <w:rsid w:val="00BC4DB6"/>
    <w:rsid w:val="00C10D97"/>
    <w:rsid w:val="00C14305"/>
    <w:rsid w:val="00C335F5"/>
    <w:rsid w:val="00C71AEA"/>
    <w:rsid w:val="00C76946"/>
    <w:rsid w:val="00CE1A12"/>
    <w:rsid w:val="00CE714F"/>
    <w:rsid w:val="00D2747D"/>
    <w:rsid w:val="00D31903"/>
    <w:rsid w:val="00D55E78"/>
    <w:rsid w:val="00DE0D11"/>
    <w:rsid w:val="00DF07FD"/>
    <w:rsid w:val="00E20A73"/>
    <w:rsid w:val="00E354FF"/>
    <w:rsid w:val="00E4494A"/>
    <w:rsid w:val="00E54D24"/>
    <w:rsid w:val="00E6604D"/>
    <w:rsid w:val="00E80940"/>
    <w:rsid w:val="00E90433"/>
    <w:rsid w:val="00ED358E"/>
    <w:rsid w:val="00EE43DB"/>
    <w:rsid w:val="00EF11B8"/>
    <w:rsid w:val="00F049F4"/>
    <w:rsid w:val="00F83D17"/>
    <w:rsid w:val="00F85ABD"/>
    <w:rsid w:val="00FB7411"/>
    <w:rsid w:val="00FD3CA0"/>
    <w:rsid w:val="00FE5DE6"/>
    <w:rsid w:val="01746A75"/>
    <w:rsid w:val="01AA7D1B"/>
    <w:rsid w:val="020C4532"/>
    <w:rsid w:val="026C6249"/>
    <w:rsid w:val="028D6509"/>
    <w:rsid w:val="02E35293"/>
    <w:rsid w:val="03367AB9"/>
    <w:rsid w:val="033755DF"/>
    <w:rsid w:val="03411FB9"/>
    <w:rsid w:val="036D7252"/>
    <w:rsid w:val="038A1BB2"/>
    <w:rsid w:val="03C055D4"/>
    <w:rsid w:val="03C52BEB"/>
    <w:rsid w:val="03F11C32"/>
    <w:rsid w:val="03F82FC0"/>
    <w:rsid w:val="040C3E2E"/>
    <w:rsid w:val="04620439"/>
    <w:rsid w:val="049F57FE"/>
    <w:rsid w:val="04B35139"/>
    <w:rsid w:val="04EB042F"/>
    <w:rsid w:val="05CD5D86"/>
    <w:rsid w:val="05F11A75"/>
    <w:rsid w:val="068E19BA"/>
    <w:rsid w:val="06AB256C"/>
    <w:rsid w:val="07416A2C"/>
    <w:rsid w:val="0781507A"/>
    <w:rsid w:val="07B45450"/>
    <w:rsid w:val="07C96B61"/>
    <w:rsid w:val="08196015"/>
    <w:rsid w:val="0834033F"/>
    <w:rsid w:val="08713341"/>
    <w:rsid w:val="088C017B"/>
    <w:rsid w:val="08926985"/>
    <w:rsid w:val="08AB6853"/>
    <w:rsid w:val="08B95862"/>
    <w:rsid w:val="08BD20E2"/>
    <w:rsid w:val="08EC0C19"/>
    <w:rsid w:val="09234792"/>
    <w:rsid w:val="096B1B3E"/>
    <w:rsid w:val="096C6AE6"/>
    <w:rsid w:val="09AB2883"/>
    <w:rsid w:val="09D13355"/>
    <w:rsid w:val="09F41B3F"/>
    <w:rsid w:val="09F85995"/>
    <w:rsid w:val="0A214C9F"/>
    <w:rsid w:val="0A3E54A5"/>
    <w:rsid w:val="0A414E14"/>
    <w:rsid w:val="0A4707FD"/>
    <w:rsid w:val="0A805ABD"/>
    <w:rsid w:val="0AD271EE"/>
    <w:rsid w:val="0AFD2C6A"/>
    <w:rsid w:val="0B156280"/>
    <w:rsid w:val="0B1F52D6"/>
    <w:rsid w:val="0B695478"/>
    <w:rsid w:val="0B9C06D5"/>
    <w:rsid w:val="0BB719C4"/>
    <w:rsid w:val="0C1D0E4A"/>
    <w:rsid w:val="0C1E10EA"/>
    <w:rsid w:val="0C766FDF"/>
    <w:rsid w:val="0C825B1D"/>
    <w:rsid w:val="0C874EE1"/>
    <w:rsid w:val="0C896A7B"/>
    <w:rsid w:val="0CAF61E6"/>
    <w:rsid w:val="0CEF247C"/>
    <w:rsid w:val="0D257996"/>
    <w:rsid w:val="0D58062B"/>
    <w:rsid w:val="0D6316DC"/>
    <w:rsid w:val="0D782A7C"/>
    <w:rsid w:val="0DAF0B93"/>
    <w:rsid w:val="0DD71E98"/>
    <w:rsid w:val="0E214EC1"/>
    <w:rsid w:val="0E745939"/>
    <w:rsid w:val="0E7D72A4"/>
    <w:rsid w:val="0E8B7C7A"/>
    <w:rsid w:val="0E8D1F58"/>
    <w:rsid w:val="0EA94D1D"/>
    <w:rsid w:val="0EDA79ED"/>
    <w:rsid w:val="0F374E81"/>
    <w:rsid w:val="0F3F5F47"/>
    <w:rsid w:val="0F4A3E32"/>
    <w:rsid w:val="0F4B48EC"/>
    <w:rsid w:val="0F827CE0"/>
    <w:rsid w:val="0F8C280E"/>
    <w:rsid w:val="0FB00BF3"/>
    <w:rsid w:val="0FC1695C"/>
    <w:rsid w:val="0FF7412C"/>
    <w:rsid w:val="103602F1"/>
    <w:rsid w:val="105570A4"/>
    <w:rsid w:val="106F460A"/>
    <w:rsid w:val="10AB4F16"/>
    <w:rsid w:val="10E548CC"/>
    <w:rsid w:val="10F44B0F"/>
    <w:rsid w:val="1169680C"/>
    <w:rsid w:val="11996E96"/>
    <w:rsid w:val="11A26319"/>
    <w:rsid w:val="11F00C0C"/>
    <w:rsid w:val="122B630F"/>
    <w:rsid w:val="1243201B"/>
    <w:rsid w:val="129D3D0D"/>
    <w:rsid w:val="12E27315"/>
    <w:rsid w:val="12E806A4"/>
    <w:rsid w:val="131412E7"/>
    <w:rsid w:val="132316DC"/>
    <w:rsid w:val="13936861"/>
    <w:rsid w:val="13DF3855"/>
    <w:rsid w:val="143F2545"/>
    <w:rsid w:val="144638D4"/>
    <w:rsid w:val="151641BF"/>
    <w:rsid w:val="15AE1730"/>
    <w:rsid w:val="15C95E28"/>
    <w:rsid w:val="15EF62F5"/>
    <w:rsid w:val="16A65946"/>
    <w:rsid w:val="16C64858"/>
    <w:rsid w:val="16CB287B"/>
    <w:rsid w:val="17045380"/>
    <w:rsid w:val="171C0861"/>
    <w:rsid w:val="172A128B"/>
    <w:rsid w:val="17B9674C"/>
    <w:rsid w:val="17C70888"/>
    <w:rsid w:val="17FF44C5"/>
    <w:rsid w:val="18023FB5"/>
    <w:rsid w:val="182C1032"/>
    <w:rsid w:val="18502F73"/>
    <w:rsid w:val="18870B49"/>
    <w:rsid w:val="18E24231"/>
    <w:rsid w:val="18E41741"/>
    <w:rsid w:val="18FC27B3"/>
    <w:rsid w:val="19082E46"/>
    <w:rsid w:val="19232435"/>
    <w:rsid w:val="19245C5E"/>
    <w:rsid w:val="1941466A"/>
    <w:rsid w:val="195A572B"/>
    <w:rsid w:val="199450E1"/>
    <w:rsid w:val="19EF663C"/>
    <w:rsid w:val="1A0A53A3"/>
    <w:rsid w:val="1AAE6504"/>
    <w:rsid w:val="1AD11A1D"/>
    <w:rsid w:val="1AE9320B"/>
    <w:rsid w:val="1B0911B7"/>
    <w:rsid w:val="1B4B7A22"/>
    <w:rsid w:val="1BDD33FD"/>
    <w:rsid w:val="1C4A1A87"/>
    <w:rsid w:val="1C4A7CD9"/>
    <w:rsid w:val="1C7A6810"/>
    <w:rsid w:val="1C7B7E93"/>
    <w:rsid w:val="1C9B22E3"/>
    <w:rsid w:val="1CB3762C"/>
    <w:rsid w:val="1CB87339"/>
    <w:rsid w:val="1D5232E9"/>
    <w:rsid w:val="1D592C0D"/>
    <w:rsid w:val="1D5A3F4C"/>
    <w:rsid w:val="1DCF6862"/>
    <w:rsid w:val="1DE1654A"/>
    <w:rsid w:val="1E51534F"/>
    <w:rsid w:val="1E8A7BD6"/>
    <w:rsid w:val="1F016D75"/>
    <w:rsid w:val="1F3A5DE3"/>
    <w:rsid w:val="1FA26B0F"/>
    <w:rsid w:val="1FD70E73"/>
    <w:rsid w:val="1FDB5818"/>
    <w:rsid w:val="1FFC5F4E"/>
    <w:rsid w:val="20126D60"/>
    <w:rsid w:val="203D202F"/>
    <w:rsid w:val="20AF470C"/>
    <w:rsid w:val="20D65FDF"/>
    <w:rsid w:val="20F87D04"/>
    <w:rsid w:val="21A67B32"/>
    <w:rsid w:val="21E8421C"/>
    <w:rsid w:val="22121299"/>
    <w:rsid w:val="222039B6"/>
    <w:rsid w:val="223E5BEA"/>
    <w:rsid w:val="22465FC2"/>
    <w:rsid w:val="22631AF5"/>
    <w:rsid w:val="22721D38"/>
    <w:rsid w:val="22E4301B"/>
    <w:rsid w:val="22FA4207"/>
    <w:rsid w:val="230E1A60"/>
    <w:rsid w:val="233F1C1A"/>
    <w:rsid w:val="23B720F8"/>
    <w:rsid w:val="23D9206E"/>
    <w:rsid w:val="23DF164F"/>
    <w:rsid w:val="243E790D"/>
    <w:rsid w:val="245636BF"/>
    <w:rsid w:val="247753E3"/>
    <w:rsid w:val="247F324F"/>
    <w:rsid w:val="24E5217F"/>
    <w:rsid w:val="25056E93"/>
    <w:rsid w:val="25A342B5"/>
    <w:rsid w:val="25AB7A3A"/>
    <w:rsid w:val="25DA20CE"/>
    <w:rsid w:val="25EC0A47"/>
    <w:rsid w:val="25F807A6"/>
    <w:rsid w:val="264D2F67"/>
    <w:rsid w:val="26D828E8"/>
    <w:rsid w:val="26F70F01"/>
    <w:rsid w:val="270218DC"/>
    <w:rsid w:val="27040C19"/>
    <w:rsid w:val="270F224B"/>
    <w:rsid w:val="271E248E"/>
    <w:rsid w:val="277442B4"/>
    <w:rsid w:val="27D46494"/>
    <w:rsid w:val="280C1216"/>
    <w:rsid w:val="280C22E7"/>
    <w:rsid w:val="28376C00"/>
    <w:rsid w:val="28757E8C"/>
    <w:rsid w:val="288D2257"/>
    <w:rsid w:val="29B00071"/>
    <w:rsid w:val="29D233A9"/>
    <w:rsid w:val="29F6585A"/>
    <w:rsid w:val="2A2B2EF8"/>
    <w:rsid w:val="2A7A3E7F"/>
    <w:rsid w:val="2A8E16D9"/>
    <w:rsid w:val="2AA607D0"/>
    <w:rsid w:val="2AC5334C"/>
    <w:rsid w:val="2AD0584D"/>
    <w:rsid w:val="2AD574EE"/>
    <w:rsid w:val="2ADF6101"/>
    <w:rsid w:val="2AEF03C9"/>
    <w:rsid w:val="2B190A55"/>
    <w:rsid w:val="2B69017C"/>
    <w:rsid w:val="2B920D55"/>
    <w:rsid w:val="2BB37649"/>
    <w:rsid w:val="2BFC0D6B"/>
    <w:rsid w:val="2C3B319A"/>
    <w:rsid w:val="2C491D5B"/>
    <w:rsid w:val="2C4E7372"/>
    <w:rsid w:val="2C7D1A05"/>
    <w:rsid w:val="2CF717B7"/>
    <w:rsid w:val="2D856DC3"/>
    <w:rsid w:val="2DE24685"/>
    <w:rsid w:val="2E382087"/>
    <w:rsid w:val="2E3A5DFF"/>
    <w:rsid w:val="2E5A1FFE"/>
    <w:rsid w:val="2E5F5866"/>
    <w:rsid w:val="2E666BF4"/>
    <w:rsid w:val="2E8B4D6F"/>
    <w:rsid w:val="2F266384"/>
    <w:rsid w:val="2F8C4439"/>
    <w:rsid w:val="2FAD2950"/>
    <w:rsid w:val="2FC169B2"/>
    <w:rsid w:val="2FD25FC2"/>
    <w:rsid w:val="2FE34275"/>
    <w:rsid w:val="2FEE6EA1"/>
    <w:rsid w:val="300466C5"/>
    <w:rsid w:val="30237C2E"/>
    <w:rsid w:val="30AC4667"/>
    <w:rsid w:val="30C96FC7"/>
    <w:rsid w:val="30DF2C8E"/>
    <w:rsid w:val="320329AC"/>
    <w:rsid w:val="32056724"/>
    <w:rsid w:val="32180206"/>
    <w:rsid w:val="323B5CA2"/>
    <w:rsid w:val="324E7E72"/>
    <w:rsid w:val="327F1EE7"/>
    <w:rsid w:val="32FD11AA"/>
    <w:rsid w:val="33704071"/>
    <w:rsid w:val="33AD497E"/>
    <w:rsid w:val="33C5616B"/>
    <w:rsid w:val="33F24A86"/>
    <w:rsid w:val="341449FD"/>
    <w:rsid w:val="343B467F"/>
    <w:rsid w:val="344A041F"/>
    <w:rsid w:val="34505857"/>
    <w:rsid w:val="347F7627"/>
    <w:rsid w:val="349D49F2"/>
    <w:rsid w:val="34E00D83"/>
    <w:rsid w:val="35800BC3"/>
    <w:rsid w:val="358344AC"/>
    <w:rsid w:val="3622296D"/>
    <w:rsid w:val="36405F7D"/>
    <w:rsid w:val="36511F38"/>
    <w:rsid w:val="36603F29"/>
    <w:rsid w:val="366C6D72"/>
    <w:rsid w:val="37323AAB"/>
    <w:rsid w:val="373F0BD5"/>
    <w:rsid w:val="38A10829"/>
    <w:rsid w:val="396106E4"/>
    <w:rsid w:val="39893797"/>
    <w:rsid w:val="39A24859"/>
    <w:rsid w:val="39E11825"/>
    <w:rsid w:val="3A0A6EAB"/>
    <w:rsid w:val="3A2D05C6"/>
    <w:rsid w:val="3A920D71"/>
    <w:rsid w:val="3AA34856"/>
    <w:rsid w:val="3AA765CB"/>
    <w:rsid w:val="3AC52EF5"/>
    <w:rsid w:val="3AF64E5C"/>
    <w:rsid w:val="3AF85078"/>
    <w:rsid w:val="3B163750"/>
    <w:rsid w:val="3B1D688D"/>
    <w:rsid w:val="3B404329"/>
    <w:rsid w:val="3B516536"/>
    <w:rsid w:val="3BBF7944"/>
    <w:rsid w:val="3BDC6748"/>
    <w:rsid w:val="3C664263"/>
    <w:rsid w:val="3C6C37AC"/>
    <w:rsid w:val="3CAD1E92"/>
    <w:rsid w:val="3CBE5E4E"/>
    <w:rsid w:val="3CCD3945"/>
    <w:rsid w:val="3CD94A35"/>
    <w:rsid w:val="3D332398"/>
    <w:rsid w:val="3D597924"/>
    <w:rsid w:val="3DA7322E"/>
    <w:rsid w:val="3DFE0BF8"/>
    <w:rsid w:val="3E0B6E71"/>
    <w:rsid w:val="3EA3354D"/>
    <w:rsid w:val="3ED6747E"/>
    <w:rsid w:val="3F2D72BA"/>
    <w:rsid w:val="3F60143E"/>
    <w:rsid w:val="3F7D3D9E"/>
    <w:rsid w:val="3F9F1F66"/>
    <w:rsid w:val="3FE65DEE"/>
    <w:rsid w:val="401305DC"/>
    <w:rsid w:val="405B6EA5"/>
    <w:rsid w:val="40A67324"/>
    <w:rsid w:val="40BC4B2D"/>
    <w:rsid w:val="40E045E4"/>
    <w:rsid w:val="40F005A0"/>
    <w:rsid w:val="410D0DE5"/>
    <w:rsid w:val="41390199"/>
    <w:rsid w:val="415673F7"/>
    <w:rsid w:val="41A35612"/>
    <w:rsid w:val="424005AA"/>
    <w:rsid w:val="42497F67"/>
    <w:rsid w:val="427C45A1"/>
    <w:rsid w:val="428E4691"/>
    <w:rsid w:val="429F48CC"/>
    <w:rsid w:val="42AE0712"/>
    <w:rsid w:val="42E934F8"/>
    <w:rsid w:val="43A062AD"/>
    <w:rsid w:val="43DD4C6D"/>
    <w:rsid w:val="43EA7528"/>
    <w:rsid w:val="43F9776B"/>
    <w:rsid w:val="440E3217"/>
    <w:rsid w:val="441F3E36"/>
    <w:rsid w:val="4432651F"/>
    <w:rsid w:val="443D1D4E"/>
    <w:rsid w:val="4477401B"/>
    <w:rsid w:val="44AD4DA8"/>
    <w:rsid w:val="45837C34"/>
    <w:rsid w:val="45905EAD"/>
    <w:rsid w:val="461D1E37"/>
    <w:rsid w:val="46623CEE"/>
    <w:rsid w:val="46694392"/>
    <w:rsid w:val="46794B93"/>
    <w:rsid w:val="46A77952"/>
    <w:rsid w:val="46B02CAB"/>
    <w:rsid w:val="46D77942"/>
    <w:rsid w:val="47013507"/>
    <w:rsid w:val="47450BA2"/>
    <w:rsid w:val="475807E5"/>
    <w:rsid w:val="47B15524"/>
    <w:rsid w:val="47BC3B98"/>
    <w:rsid w:val="47C4486B"/>
    <w:rsid w:val="47ED5839"/>
    <w:rsid w:val="47F20DC8"/>
    <w:rsid w:val="48311BC9"/>
    <w:rsid w:val="4856518C"/>
    <w:rsid w:val="48627FD5"/>
    <w:rsid w:val="489C4782"/>
    <w:rsid w:val="48E95EB8"/>
    <w:rsid w:val="490053BF"/>
    <w:rsid w:val="49296D45"/>
    <w:rsid w:val="49424007"/>
    <w:rsid w:val="494616A5"/>
    <w:rsid w:val="496A222E"/>
    <w:rsid w:val="49721172"/>
    <w:rsid w:val="49836455"/>
    <w:rsid w:val="49C702A1"/>
    <w:rsid w:val="49ED38CE"/>
    <w:rsid w:val="4A534079"/>
    <w:rsid w:val="4A5B2F2E"/>
    <w:rsid w:val="4AA91EEB"/>
    <w:rsid w:val="4AB60164"/>
    <w:rsid w:val="4ADD1B95"/>
    <w:rsid w:val="4B802F7F"/>
    <w:rsid w:val="4BD2399A"/>
    <w:rsid w:val="4BD5286C"/>
    <w:rsid w:val="4C2F01CE"/>
    <w:rsid w:val="4C577212"/>
    <w:rsid w:val="4C8D3147"/>
    <w:rsid w:val="4CDA2830"/>
    <w:rsid w:val="4D1A70D0"/>
    <w:rsid w:val="4D2E15B2"/>
    <w:rsid w:val="4D7D140D"/>
    <w:rsid w:val="4DCD4142"/>
    <w:rsid w:val="4DD454D1"/>
    <w:rsid w:val="4DE4148C"/>
    <w:rsid w:val="4E0D453F"/>
    <w:rsid w:val="4E7A47D9"/>
    <w:rsid w:val="4EB42C0C"/>
    <w:rsid w:val="4EE23C1E"/>
    <w:rsid w:val="4F307459"/>
    <w:rsid w:val="4F4F1AD3"/>
    <w:rsid w:val="4FDF63AF"/>
    <w:rsid w:val="50412415"/>
    <w:rsid w:val="50724B2D"/>
    <w:rsid w:val="50DE5F54"/>
    <w:rsid w:val="50F10148"/>
    <w:rsid w:val="513242BC"/>
    <w:rsid w:val="51361FFF"/>
    <w:rsid w:val="51600E2A"/>
    <w:rsid w:val="518B234A"/>
    <w:rsid w:val="519F5DF6"/>
    <w:rsid w:val="51C92E73"/>
    <w:rsid w:val="522D3402"/>
    <w:rsid w:val="523A3630"/>
    <w:rsid w:val="52483D98"/>
    <w:rsid w:val="52713301"/>
    <w:rsid w:val="53407165"/>
    <w:rsid w:val="535D7D17"/>
    <w:rsid w:val="537312E8"/>
    <w:rsid w:val="53731EF7"/>
    <w:rsid w:val="53BA6F17"/>
    <w:rsid w:val="542919A7"/>
    <w:rsid w:val="546222C7"/>
    <w:rsid w:val="54624EB9"/>
    <w:rsid w:val="54A95B05"/>
    <w:rsid w:val="54B0031A"/>
    <w:rsid w:val="54E029AD"/>
    <w:rsid w:val="5516412B"/>
    <w:rsid w:val="55357768"/>
    <w:rsid w:val="556421C4"/>
    <w:rsid w:val="55E10774"/>
    <w:rsid w:val="56494582"/>
    <w:rsid w:val="5662703A"/>
    <w:rsid w:val="57034731"/>
    <w:rsid w:val="571E46AA"/>
    <w:rsid w:val="57684EDC"/>
    <w:rsid w:val="5768669B"/>
    <w:rsid w:val="57B63E99"/>
    <w:rsid w:val="57E502DB"/>
    <w:rsid w:val="57FF75EE"/>
    <w:rsid w:val="58227637"/>
    <w:rsid w:val="58A67700"/>
    <w:rsid w:val="58F033DB"/>
    <w:rsid w:val="5900361E"/>
    <w:rsid w:val="594352B9"/>
    <w:rsid w:val="594554D5"/>
    <w:rsid w:val="5A673229"/>
    <w:rsid w:val="5A871B1D"/>
    <w:rsid w:val="5A9304C2"/>
    <w:rsid w:val="5AA545BF"/>
    <w:rsid w:val="5AD05272"/>
    <w:rsid w:val="5AE35306"/>
    <w:rsid w:val="5B0F5D9A"/>
    <w:rsid w:val="5B127639"/>
    <w:rsid w:val="5B955B74"/>
    <w:rsid w:val="5BAF30D9"/>
    <w:rsid w:val="5BF77CD1"/>
    <w:rsid w:val="5C2F6439"/>
    <w:rsid w:val="5C7159E6"/>
    <w:rsid w:val="5C7B2247"/>
    <w:rsid w:val="5C811A12"/>
    <w:rsid w:val="5CF4384C"/>
    <w:rsid w:val="5D791381"/>
    <w:rsid w:val="5E435D5B"/>
    <w:rsid w:val="5E734892"/>
    <w:rsid w:val="5ED9759B"/>
    <w:rsid w:val="5EE44B0F"/>
    <w:rsid w:val="5F475920"/>
    <w:rsid w:val="5F7436B6"/>
    <w:rsid w:val="5FD44EBD"/>
    <w:rsid w:val="601654D5"/>
    <w:rsid w:val="60A76A75"/>
    <w:rsid w:val="60B53F20"/>
    <w:rsid w:val="61051BBD"/>
    <w:rsid w:val="611B5932"/>
    <w:rsid w:val="611F485D"/>
    <w:rsid w:val="614366F9"/>
    <w:rsid w:val="614B11AE"/>
    <w:rsid w:val="6163551B"/>
    <w:rsid w:val="61860438"/>
    <w:rsid w:val="618943CD"/>
    <w:rsid w:val="61E11B13"/>
    <w:rsid w:val="61FD1E18"/>
    <w:rsid w:val="6200643D"/>
    <w:rsid w:val="620B4DE2"/>
    <w:rsid w:val="62C236F2"/>
    <w:rsid w:val="62E34C11"/>
    <w:rsid w:val="62F15D85"/>
    <w:rsid w:val="63097573"/>
    <w:rsid w:val="633640E0"/>
    <w:rsid w:val="634C3904"/>
    <w:rsid w:val="637A221F"/>
    <w:rsid w:val="639D761E"/>
    <w:rsid w:val="63DB65E9"/>
    <w:rsid w:val="646D1D84"/>
    <w:rsid w:val="64801229"/>
    <w:rsid w:val="64BD7CF9"/>
    <w:rsid w:val="65462803"/>
    <w:rsid w:val="65683D00"/>
    <w:rsid w:val="658649B2"/>
    <w:rsid w:val="65A215B9"/>
    <w:rsid w:val="65FF4C5D"/>
    <w:rsid w:val="663F505A"/>
    <w:rsid w:val="665054B9"/>
    <w:rsid w:val="666D7E19"/>
    <w:rsid w:val="66B27F22"/>
    <w:rsid w:val="66CF63DE"/>
    <w:rsid w:val="66E225B5"/>
    <w:rsid w:val="66FE4F15"/>
    <w:rsid w:val="672524A2"/>
    <w:rsid w:val="674F5770"/>
    <w:rsid w:val="676A6106"/>
    <w:rsid w:val="67852F40"/>
    <w:rsid w:val="68314C13"/>
    <w:rsid w:val="684150B9"/>
    <w:rsid w:val="68F91E38"/>
    <w:rsid w:val="691708F3"/>
    <w:rsid w:val="691A2CD6"/>
    <w:rsid w:val="69674FF3"/>
    <w:rsid w:val="69766FE4"/>
    <w:rsid w:val="69A753F0"/>
    <w:rsid w:val="69D87C9F"/>
    <w:rsid w:val="6A7E0847"/>
    <w:rsid w:val="6A8219B9"/>
    <w:rsid w:val="6ABC136F"/>
    <w:rsid w:val="6AD92DE4"/>
    <w:rsid w:val="6AE14931"/>
    <w:rsid w:val="6B086362"/>
    <w:rsid w:val="6B1B42E7"/>
    <w:rsid w:val="6B313906"/>
    <w:rsid w:val="6BB70F8C"/>
    <w:rsid w:val="6C05649C"/>
    <w:rsid w:val="6C0C59DE"/>
    <w:rsid w:val="6C2C6080"/>
    <w:rsid w:val="6C757A27"/>
    <w:rsid w:val="6C9867A4"/>
    <w:rsid w:val="6C991968"/>
    <w:rsid w:val="6CCA357A"/>
    <w:rsid w:val="6D08089B"/>
    <w:rsid w:val="6D142D9C"/>
    <w:rsid w:val="6DA305C4"/>
    <w:rsid w:val="6DDB1B0C"/>
    <w:rsid w:val="6E2014C5"/>
    <w:rsid w:val="6E7D0E15"/>
    <w:rsid w:val="6E9248C1"/>
    <w:rsid w:val="6E985CC5"/>
    <w:rsid w:val="6EC65165"/>
    <w:rsid w:val="6F213CB0"/>
    <w:rsid w:val="6F2474E3"/>
    <w:rsid w:val="6F8F0E00"/>
    <w:rsid w:val="6FB109F1"/>
    <w:rsid w:val="6FD02BC4"/>
    <w:rsid w:val="702F613F"/>
    <w:rsid w:val="70451B34"/>
    <w:rsid w:val="70463B28"/>
    <w:rsid w:val="706A53C9"/>
    <w:rsid w:val="70EC5DDE"/>
    <w:rsid w:val="712612F0"/>
    <w:rsid w:val="716562BC"/>
    <w:rsid w:val="71AE3FD1"/>
    <w:rsid w:val="71AF12E6"/>
    <w:rsid w:val="71F5562D"/>
    <w:rsid w:val="72192C03"/>
    <w:rsid w:val="7223021E"/>
    <w:rsid w:val="72734A09"/>
    <w:rsid w:val="72C77B81"/>
    <w:rsid w:val="72CE60E3"/>
    <w:rsid w:val="72E94CCB"/>
    <w:rsid w:val="730038A6"/>
    <w:rsid w:val="736507F6"/>
    <w:rsid w:val="7366631C"/>
    <w:rsid w:val="73835308"/>
    <w:rsid w:val="73E3796C"/>
    <w:rsid w:val="743F0174"/>
    <w:rsid w:val="744C5512"/>
    <w:rsid w:val="745919DD"/>
    <w:rsid w:val="74842EFD"/>
    <w:rsid w:val="74A76BEC"/>
    <w:rsid w:val="74DA0D6F"/>
    <w:rsid w:val="754937FF"/>
    <w:rsid w:val="757A7E5C"/>
    <w:rsid w:val="75826602"/>
    <w:rsid w:val="759233F8"/>
    <w:rsid w:val="75BF50FA"/>
    <w:rsid w:val="75C64E50"/>
    <w:rsid w:val="75D80819"/>
    <w:rsid w:val="75FC7F49"/>
    <w:rsid w:val="762C55FB"/>
    <w:rsid w:val="76432944"/>
    <w:rsid w:val="76FB4FCD"/>
    <w:rsid w:val="7702635B"/>
    <w:rsid w:val="77346374"/>
    <w:rsid w:val="77493F8A"/>
    <w:rsid w:val="776256D0"/>
    <w:rsid w:val="77724B8E"/>
    <w:rsid w:val="77925931"/>
    <w:rsid w:val="78123A4D"/>
    <w:rsid w:val="783469E8"/>
    <w:rsid w:val="78482494"/>
    <w:rsid w:val="787B4617"/>
    <w:rsid w:val="787E5EB6"/>
    <w:rsid w:val="78AA6CAB"/>
    <w:rsid w:val="78BE1249"/>
    <w:rsid w:val="78E040E5"/>
    <w:rsid w:val="78FD327E"/>
    <w:rsid w:val="791472CB"/>
    <w:rsid w:val="79294073"/>
    <w:rsid w:val="794C1838"/>
    <w:rsid w:val="79507852"/>
    <w:rsid w:val="79A976FD"/>
    <w:rsid w:val="79AB2CDA"/>
    <w:rsid w:val="79B853F7"/>
    <w:rsid w:val="79C124FE"/>
    <w:rsid w:val="7A070F22"/>
    <w:rsid w:val="7A560E98"/>
    <w:rsid w:val="7A7237F8"/>
    <w:rsid w:val="7A7430CC"/>
    <w:rsid w:val="7A8A0B42"/>
    <w:rsid w:val="7B170F4B"/>
    <w:rsid w:val="7B3E1F6A"/>
    <w:rsid w:val="7B5829EE"/>
    <w:rsid w:val="7B7D4202"/>
    <w:rsid w:val="7B8F2BCE"/>
    <w:rsid w:val="7BC02341"/>
    <w:rsid w:val="7BE95D3C"/>
    <w:rsid w:val="7CA158BE"/>
    <w:rsid w:val="7CE85FF3"/>
    <w:rsid w:val="7D142945"/>
    <w:rsid w:val="7D965A4F"/>
    <w:rsid w:val="7DB163E5"/>
    <w:rsid w:val="7DB67916"/>
    <w:rsid w:val="7E040C0B"/>
    <w:rsid w:val="7EB50157"/>
    <w:rsid w:val="7ECB797B"/>
    <w:rsid w:val="7EEA4E95"/>
    <w:rsid w:val="7F0F16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spacing w:before="340" w:after="330" w:line="578" w:lineRule="auto"/>
      <w:outlineLvl w:val="0"/>
    </w:pPr>
    <w:rPr>
      <w:b/>
      <w:kern w:val="44"/>
      <w:sz w:val="44"/>
    </w:rPr>
  </w:style>
  <w:style w:type="paragraph" w:styleId="3">
    <w:name w:val="heading 2"/>
    <w:basedOn w:val="1"/>
    <w:next w:val="1"/>
    <w:qFormat/>
    <w:uiPriority w:val="0"/>
    <w:pPr>
      <w:keepNext/>
      <w:keepLines/>
      <w:spacing w:before="260" w:after="260" w:line="415" w:lineRule="auto"/>
      <w:outlineLvl w:val="1"/>
    </w:pPr>
    <w:rPr>
      <w:rFonts w:ascii="Arial" w:hAnsi="Arial" w:eastAsia="黑体"/>
      <w:b/>
      <w:sz w:val="32"/>
    </w:rPr>
  </w:style>
  <w:style w:type="paragraph" w:styleId="4">
    <w:name w:val="heading 3"/>
    <w:basedOn w:val="1"/>
    <w:next w:val="1"/>
    <w:qFormat/>
    <w:uiPriority w:val="0"/>
    <w:pPr>
      <w:keepNext/>
      <w:keepLines/>
      <w:spacing w:before="260" w:after="260" w:line="415" w:lineRule="auto"/>
      <w:outlineLvl w:val="2"/>
    </w:pPr>
    <w:rPr>
      <w:b/>
      <w:sz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16"/>
    <w:qFormat/>
    <w:uiPriority w:val="0"/>
    <w:pPr>
      <w:jc w:val="left"/>
    </w:pPr>
    <w:rPr>
      <w:szCs w:val="32"/>
    </w:rPr>
  </w:style>
  <w:style w:type="paragraph" w:styleId="6">
    <w:name w:val="Plain Text"/>
    <w:basedOn w:val="1"/>
    <w:qFormat/>
    <w:uiPriority w:val="0"/>
    <w:rPr>
      <w:rFonts w:ascii="宋体" w:hAnsi="宋体"/>
    </w:rPr>
  </w:style>
  <w:style w:type="paragraph" w:styleId="7">
    <w:name w:val="Date"/>
    <w:basedOn w:val="1"/>
    <w:next w:val="1"/>
    <w:link w:val="15"/>
    <w:semiHidden/>
    <w:unhideWhenUsed/>
    <w:qFormat/>
    <w:uiPriority w:val="99"/>
    <w:pPr>
      <w:ind w:left="100" w:leftChars="2500"/>
    </w:pPr>
  </w:style>
  <w:style w:type="paragraph" w:styleId="8">
    <w:name w:val="footer"/>
    <w:basedOn w:val="1"/>
    <w:link w:val="14"/>
    <w:unhideWhenUsed/>
    <w:qFormat/>
    <w:uiPriority w:val="99"/>
    <w:pPr>
      <w:tabs>
        <w:tab w:val="center" w:pos="4153"/>
        <w:tab w:val="right" w:pos="8306"/>
      </w:tabs>
      <w:snapToGrid w:val="0"/>
      <w:jc w:val="left"/>
    </w:pPr>
    <w:rPr>
      <w:sz w:val="18"/>
      <w:szCs w:val="18"/>
    </w:rPr>
  </w:style>
  <w:style w:type="paragraph" w:styleId="9">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table" w:styleId="11">
    <w:name w:val="Table Grid"/>
    <w:basedOn w:val="1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13">
    <w:name w:val="页眉 字符"/>
    <w:link w:val="9"/>
    <w:qFormat/>
    <w:uiPriority w:val="99"/>
    <w:rPr>
      <w:kern w:val="2"/>
      <w:sz w:val="18"/>
      <w:szCs w:val="18"/>
    </w:rPr>
  </w:style>
  <w:style w:type="character" w:customStyle="1" w:styleId="14">
    <w:name w:val="页脚 字符"/>
    <w:link w:val="8"/>
    <w:qFormat/>
    <w:uiPriority w:val="99"/>
    <w:rPr>
      <w:kern w:val="2"/>
      <w:sz w:val="18"/>
      <w:szCs w:val="18"/>
    </w:rPr>
  </w:style>
  <w:style w:type="character" w:customStyle="1" w:styleId="15">
    <w:name w:val="日期 字符"/>
    <w:basedOn w:val="12"/>
    <w:link w:val="7"/>
    <w:semiHidden/>
    <w:qFormat/>
    <w:uiPriority w:val="99"/>
    <w:rPr>
      <w:kern w:val="2"/>
      <w:sz w:val="21"/>
    </w:rPr>
  </w:style>
  <w:style w:type="character" w:customStyle="1" w:styleId="16">
    <w:name w:val="批注文字 字符"/>
    <w:basedOn w:val="12"/>
    <w:link w:val="5"/>
    <w:qFormat/>
    <w:uiPriority w:val="0"/>
    <w:rPr>
      <w:kern w:val="2"/>
      <w:sz w:val="21"/>
      <w:szCs w:val="32"/>
    </w:rPr>
  </w:style>
  <w:style w:type="paragraph" w:customStyle="1" w:styleId="17">
    <w:name w:val="样式 主题词 + 段后: 8.85 磅 行距: 固定值 26 磅"/>
    <w:basedOn w:val="1"/>
    <w:qFormat/>
    <w:uiPriority w:val="0"/>
    <w:pPr>
      <w:adjustRightInd w:val="0"/>
      <w:spacing w:after="177" w:line="520" w:lineRule="exact"/>
      <w:jc w:val="left"/>
    </w:pPr>
    <w:rPr>
      <w:rFonts w:ascii="方正黑体_GBK" w:eastAsia="方正黑体_GBK" w:cs="宋体"/>
      <w:bC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E6DC1F4-9EB3-4F04-B75E-FCEEA9FD0138}">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8</Pages>
  <Words>2943</Words>
  <Characters>3271</Characters>
  <Lines>24</Lines>
  <Paragraphs>6</Paragraphs>
  <TotalTime>4</TotalTime>
  <ScaleCrop>false</ScaleCrop>
  <LinksUpToDate>false</LinksUpToDate>
  <CharactersWithSpaces>3323</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2019-07-31T02:20:00Z</dcterms:created>
  <dc:creator>微软用户</dc:creator>
  <cp:lastModifiedBy>虎1376011663</cp:lastModifiedBy>
  <cp:lastPrinted>2025-10-17T09:54:00Z</cp:lastPrinted>
  <dcterms:modified xsi:type="dcterms:W3CDTF">2026-09-30T07:07:22Z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27A79E573AE4401082AB8BD0DFA696D4_13</vt:lpwstr>
  </property>
  <property fmtid="{D5CDD505-2E9C-101B-9397-08002B2CF9AE}" pid="4" name="KSOTemplateDocerSaveRecord">
    <vt:lpwstr>eyJoZGlkIjoiODZlZmM5ZWNjNWVmZjZmOWM5ZjZhZGZmMjUxMzg0MGUiLCJ1c2VySWQiOiIzOTQ4NTk4In0=</vt:lpwstr>
  </property>
</Properties>
</file>