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6CBFA">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黑体" w:cs="Times New Roman"/>
          <w:b w:val="0"/>
          <w:bCs w:val="0"/>
          <w:spacing w:val="5"/>
          <w:sz w:val="32"/>
          <w:szCs w:val="32"/>
          <w:lang w:val="en-US" w:eastAsia="zh-CN"/>
        </w:rPr>
      </w:pPr>
      <w:r>
        <w:rPr>
          <w:rFonts w:hint="default" w:ascii="Times New Roman" w:hAnsi="Times New Roman" w:eastAsia="黑体" w:cs="Times New Roman"/>
          <w:b w:val="0"/>
          <w:bCs w:val="0"/>
          <w:spacing w:val="5"/>
          <w:sz w:val="32"/>
          <w:szCs w:val="32"/>
          <w:lang w:val="en-US" w:eastAsia="zh-CN"/>
        </w:rPr>
        <w:t>附件4</w:t>
      </w:r>
    </w:p>
    <w:p w14:paraId="46F22D92">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黑体" w:cs="Times New Roman"/>
          <w:b w:val="0"/>
          <w:bCs w:val="0"/>
          <w:spacing w:val="5"/>
          <w:sz w:val="32"/>
          <w:szCs w:val="32"/>
          <w:lang w:val="en-US" w:eastAsia="zh-CN"/>
        </w:rPr>
      </w:pPr>
    </w:p>
    <w:p w14:paraId="58FFF0F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pacing w:val="5"/>
          <w:sz w:val="32"/>
          <w:szCs w:val="32"/>
          <w:lang w:val="en-US" w:eastAsia="zh-CN"/>
        </w:rPr>
      </w:pPr>
      <w:r>
        <w:rPr>
          <w:rFonts w:hint="eastAsia" w:ascii="仿宋" w:hAnsi="仿宋" w:eastAsia="仿宋" w:cs="仿宋"/>
          <w:b/>
          <w:bCs/>
          <w:spacing w:val="5"/>
          <w:sz w:val="32"/>
          <w:szCs w:val="32"/>
          <w:lang w:val="en-US" w:eastAsia="zh-CN"/>
        </w:rPr>
        <w:t>双山过江涵洞管理考核表</w:t>
      </w:r>
    </w:p>
    <w:p w14:paraId="0184613A">
      <w:pPr>
        <w:spacing w:before="286" w:line="221" w:lineRule="auto"/>
        <w:rPr>
          <w:rFonts w:hint="default" w:ascii="仿宋" w:hAnsi="仿宋" w:eastAsia="仿宋" w:cs="仿宋"/>
          <w:spacing w:val="5"/>
          <w:sz w:val="27"/>
          <w:szCs w:val="27"/>
          <w:vertAlign w:val="baseline"/>
          <w:lang w:val="en-US" w:eastAsia="zh-CN"/>
        </w:rPr>
      </w:pPr>
      <w:r>
        <w:rPr>
          <w:rFonts w:hint="eastAsia" w:ascii="仿宋" w:hAnsi="仿宋" w:eastAsia="仿宋" w:cs="仿宋"/>
          <w:spacing w:val="5"/>
          <w:sz w:val="27"/>
          <w:szCs w:val="27"/>
          <w:lang w:val="en-US" w:eastAsia="zh-CN"/>
        </w:rPr>
        <w:t>考核单位：              考核时间：              考核人：</w:t>
      </w:r>
    </w:p>
    <w:tbl>
      <w:tblPr>
        <w:tblStyle w:val="4"/>
        <w:tblW w:w="10148" w:type="dxa"/>
        <w:tblInd w:w="-7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2768"/>
        <w:gridCol w:w="2730"/>
        <w:gridCol w:w="1170"/>
        <w:gridCol w:w="967"/>
        <w:gridCol w:w="1673"/>
      </w:tblGrid>
      <w:tr w14:paraId="7D2A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40" w:type="dxa"/>
          </w:tcPr>
          <w:p w14:paraId="4DA1992C">
            <w:pPr>
              <w:pStyle w:val="6"/>
              <w:spacing w:before="144" w:line="221" w:lineRule="auto"/>
              <w:ind w:left="104"/>
              <w:jc w:val="left"/>
              <w:rPr>
                <w:rFonts w:hint="default" w:ascii="宋体" w:hAnsi="宋体" w:eastAsia="宋体" w:cs="宋体"/>
                <w:spacing w:val="6"/>
                <w:lang w:val="en-US" w:eastAsia="zh-CN"/>
              </w:rPr>
            </w:pPr>
            <w:r>
              <w:rPr>
                <w:rFonts w:hint="eastAsia" w:ascii="宋体" w:hAnsi="宋体" w:eastAsia="宋体" w:cs="宋体"/>
                <w:spacing w:val="6"/>
                <w:lang w:val="en-US" w:eastAsia="zh-CN"/>
              </w:rPr>
              <w:t>序号</w:t>
            </w:r>
          </w:p>
        </w:tc>
        <w:tc>
          <w:tcPr>
            <w:tcW w:w="2768" w:type="dxa"/>
          </w:tcPr>
          <w:p w14:paraId="37144CCD">
            <w:pPr>
              <w:pStyle w:val="6"/>
              <w:spacing w:before="144" w:line="221" w:lineRule="auto"/>
              <w:ind w:left="104"/>
              <w:jc w:val="left"/>
              <w:rPr>
                <w:rFonts w:hint="default" w:ascii="宋体" w:hAnsi="宋体" w:eastAsia="宋体" w:cs="宋体"/>
                <w:spacing w:val="6"/>
                <w:lang w:val="en-US" w:eastAsia="zh-CN"/>
              </w:rPr>
            </w:pPr>
            <w:r>
              <w:rPr>
                <w:rFonts w:hint="eastAsia" w:ascii="宋体" w:hAnsi="宋体" w:eastAsia="宋体" w:cs="宋体"/>
                <w:spacing w:val="6"/>
                <w:lang w:val="en-US" w:eastAsia="zh-CN"/>
              </w:rPr>
              <w:t>考核内容</w:t>
            </w:r>
          </w:p>
        </w:tc>
        <w:tc>
          <w:tcPr>
            <w:tcW w:w="2730" w:type="dxa"/>
          </w:tcPr>
          <w:p w14:paraId="5AF7ECEA">
            <w:pPr>
              <w:pStyle w:val="6"/>
              <w:spacing w:before="144" w:line="221" w:lineRule="auto"/>
              <w:ind w:left="104"/>
              <w:jc w:val="left"/>
              <w:rPr>
                <w:rFonts w:hint="default" w:ascii="宋体" w:hAnsi="宋体" w:eastAsia="宋体" w:cs="宋体"/>
                <w:spacing w:val="6"/>
                <w:lang w:val="en-US" w:eastAsia="zh-CN"/>
              </w:rPr>
            </w:pPr>
            <w:r>
              <w:rPr>
                <w:rFonts w:hint="eastAsia" w:ascii="宋体" w:hAnsi="宋体" w:eastAsia="宋体" w:cs="宋体"/>
                <w:spacing w:val="6"/>
                <w:lang w:val="en-US" w:eastAsia="zh-CN"/>
              </w:rPr>
              <w:t>评分标准</w:t>
            </w:r>
          </w:p>
        </w:tc>
        <w:tc>
          <w:tcPr>
            <w:tcW w:w="1170" w:type="dxa"/>
          </w:tcPr>
          <w:p w14:paraId="705B54D8">
            <w:pPr>
              <w:pStyle w:val="6"/>
              <w:spacing w:before="144" w:line="221" w:lineRule="auto"/>
              <w:ind w:left="104"/>
              <w:jc w:val="left"/>
              <w:rPr>
                <w:rFonts w:hint="default" w:ascii="宋体" w:hAnsi="宋体" w:eastAsia="宋体" w:cs="宋体"/>
                <w:spacing w:val="6"/>
                <w:lang w:val="en-US" w:eastAsia="zh-CN"/>
              </w:rPr>
            </w:pPr>
            <w:r>
              <w:rPr>
                <w:rFonts w:hint="eastAsia" w:ascii="宋体" w:hAnsi="宋体" w:eastAsia="宋体" w:cs="宋体"/>
                <w:spacing w:val="6"/>
                <w:lang w:val="en-US" w:eastAsia="zh-CN"/>
              </w:rPr>
              <w:t>标准分</w:t>
            </w:r>
          </w:p>
        </w:tc>
        <w:tc>
          <w:tcPr>
            <w:tcW w:w="967" w:type="dxa"/>
          </w:tcPr>
          <w:p w14:paraId="066E0129">
            <w:pPr>
              <w:pStyle w:val="6"/>
              <w:spacing w:before="144" w:line="221" w:lineRule="auto"/>
              <w:ind w:left="104"/>
              <w:jc w:val="left"/>
              <w:rPr>
                <w:rFonts w:hint="default" w:ascii="宋体" w:hAnsi="宋体" w:eastAsia="宋体" w:cs="宋体"/>
                <w:spacing w:val="6"/>
                <w:lang w:val="en-US" w:eastAsia="zh-CN"/>
              </w:rPr>
            </w:pPr>
            <w:r>
              <w:rPr>
                <w:rFonts w:hint="eastAsia" w:ascii="宋体" w:hAnsi="宋体" w:eastAsia="宋体" w:cs="宋体"/>
                <w:spacing w:val="6"/>
                <w:lang w:val="en-US" w:eastAsia="zh-CN"/>
              </w:rPr>
              <w:t>考核分</w:t>
            </w:r>
          </w:p>
        </w:tc>
        <w:tc>
          <w:tcPr>
            <w:tcW w:w="1673" w:type="dxa"/>
          </w:tcPr>
          <w:p w14:paraId="1F14FB4B">
            <w:pPr>
              <w:pStyle w:val="6"/>
              <w:spacing w:before="144" w:line="221" w:lineRule="auto"/>
              <w:ind w:left="104"/>
              <w:jc w:val="left"/>
              <w:rPr>
                <w:rFonts w:hint="default" w:ascii="宋体" w:hAnsi="宋体" w:eastAsia="宋体" w:cs="宋体"/>
                <w:spacing w:val="6"/>
                <w:lang w:val="en-US" w:eastAsia="zh-CN"/>
              </w:rPr>
            </w:pPr>
            <w:r>
              <w:rPr>
                <w:rFonts w:hint="eastAsia" w:ascii="宋体" w:hAnsi="宋体" w:eastAsia="宋体" w:cs="宋体"/>
                <w:spacing w:val="6"/>
                <w:lang w:val="en-US" w:eastAsia="zh-CN"/>
              </w:rPr>
              <w:t>扣分说明</w:t>
            </w:r>
          </w:p>
        </w:tc>
      </w:tr>
      <w:tr w14:paraId="4E6A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0" w:type="dxa"/>
            <w:vAlign w:val="center"/>
          </w:tcPr>
          <w:p w14:paraId="3B990922">
            <w:pPr>
              <w:pStyle w:val="6"/>
              <w:spacing w:before="60" w:line="291" w:lineRule="auto"/>
              <w:ind w:left="102" w:right="131"/>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2768" w:type="dxa"/>
            <w:vAlign w:val="center"/>
          </w:tcPr>
          <w:p w14:paraId="5B1EB28A">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严格按照《张家港市长江防洪工程管理办法》开展涵洞管理工作，严禁一切危害、破坏水利工程安全的行为，杜绝私拆、损坏涵洞设施、向涵洞口倾倒垃圾杂物等行为</w:t>
            </w:r>
            <w:r>
              <w:rPr>
                <w:rFonts w:hint="eastAsia" w:ascii="宋体" w:hAnsi="宋体" w:eastAsia="宋体" w:cs="宋体"/>
                <w:sz w:val="20"/>
                <w:szCs w:val="20"/>
                <w:lang w:val="en-US" w:eastAsia="zh-CN"/>
              </w:rPr>
              <w:t>。</w:t>
            </w:r>
          </w:p>
        </w:tc>
        <w:tc>
          <w:tcPr>
            <w:tcW w:w="2730" w:type="dxa"/>
            <w:vAlign w:val="center"/>
          </w:tcPr>
          <w:p w14:paraId="6CEF9EDA">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发现危害</w:t>
            </w:r>
            <w:r>
              <w:rPr>
                <w:rFonts w:hint="eastAsia" w:ascii="宋体" w:hAnsi="宋体" w:eastAsia="宋体" w:cs="宋体"/>
                <w:sz w:val="20"/>
                <w:szCs w:val="20"/>
                <w:lang w:val="en-US" w:eastAsia="zh-CN"/>
              </w:rPr>
              <w:t>或</w:t>
            </w:r>
            <w:r>
              <w:rPr>
                <w:rFonts w:hint="default" w:ascii="宋体" w:hAnsi="宋体" w:eastAsia="宋体" w:cs="宋体"/>
                <w:sz w:val="20"/>
                <w:szCs w:val="20"/>
                <w:lang w:val="en-US" w:eastAsia="zh-CN"/>
              </w:rPr>
              <w:t>破坏工程安全行为1次扣10 分；发现涵洞口倾倒垃圾</w:t>
            </w:r>
            <w:r>
              <w:rPr>
                <w:rFonts w:hint="eastAsia" w:ascii="宋体" w:hAnsi="宋体" w:eastAsia="宋体" w:cs="宋体"/>
                <w:sz w:val="20"/>
                <w:szCs w:val="20"/>
                <w:lang w:val="en-US" w:eastAsia="zh-CN"/>
              </w:rPr>
              <w:t>、</w:t>
            </w:r>
            <w:r>
              <w:rPr>
                <w:rFonts w:hint="default" w:ascii="宋体" w:hAnsi="宋体" w:eastAsia="宋体" w:cs="宋体"/>
                <w:sz w:val="20"/>
                <w:szCs w:val="20"/>
                <w:lang w:val="en-US" w:eastAsia="zh-CN"/>
              </w:rPr>
              <w:t>杂物1 次扣</w:t>
            </w:r>
            <w:r>
              <w:rPr>
                <w:rFonts w:hint="eastAsia" w:cs="宋体"/>
                <w:sz w:val="20"/>
                <w:szCs w:val="20"/>
                <w:lang w:val="en-US" w:eastAsia="zh-CN"/>
              </w:rPr>
              <w:t>1—</w:t>
            </w:r>
            <w:r>
              <w:rPr>
                <w:rFonts w:hint="eastAsia" w:ascii="宋体" w:hAnsi="宋体" w:eastAsia="宋体" w:cs="宋体"/>
                <w:sz w:val="20"/>
                <w:szCs w:val="20"/>
                <w:lang w:val="en-US" w:eastAsia="zh-CN"/>
              </w:rPr>
              <w:t>2</w:t>
            </w:r>
            <w:r>
              <w:rPr>
                <w:rFonts w:hint="default" w:ascii="宋体" w:hAnsi="宋体" w:eastAsia="宋体" w:cs="宋体"/>
                <w:sz w:val="20"/>
                <w:szCs w:val="20"/>
                <w:lang w:val="en-US" w:eastAsia="zh-CN"/>
              </w:rPr>
              <w:t>分；造成设施损坏的，此项不得分且由乙方承担维修赔偿责任</w:t>
            </w:r>
            <w:r>
              <w:rPr>
                <w:rFonts w:hint="eastAsia" w:ascii="宋体" w:hAnsi="宋体" w:eastAsia="宋体" w:cs="宋体"/>
                <w:sz w:val="20"/>
                <w:szCs w:val="20"/>
                <w:lang w:val="en-US" w:eastAsia="zh-CN"/>
              </w:rPr>
              <w:t>。</w:t>
            </w:r>
          </w:p>
        </w:tc>
        <w:tc>
          <w:tcPr>
            <w:tcW w:w="1170" w:type="dxa"/>
            <w:vAlign w:val="center"/>
          </w:tcPr>
          <w:p w14:paraId="38AD27EF">
            <w:pPr>
              <w:spacing w:line="312" w:lineRule="auto"/>
              <w:jc w:val="center"/>
              <w:rPr>
                <w:rFonts w:hint="default" w:ascii="Arial"/>
                <w:sz w:val="21"/>
                <w:lang w:val="en-US" w:eastAsia="zh-CN"/>
              </w:rPr>
            </w:pPr>
            <w:r>
              <w:rPr>
                <w:rFonts w:hint="eastAsia" w:ascii="Arial"/>
                <w:sz w:val="21"/>
                <w:lang w:val="en-US" w:eastAsia="zh-CN"/>
              </w:rPr>
              <w:t>15</w:t>
            </w:r>
          </w:p>
        </w:tc>
        <w:tc>
          <w:tcPr>
            <w:tcW w:w="967" w:type="dxa"/>
          </w:tcPr>
          <w:p w14:paraId="333EC5C9">
            <w:pPr>
              <w:pStyle w:val="6"/>
              <w:spacing w:before="144" w:line="221" w:lineRule="auto"/>
              <w:ind w:left="104"/>
              <w:jc w:val="left"/>
              <w:rPr>
                <w:rFonts w:hint="default" w:ascii="宋体" w:hAnsi="宋体" w:eastAsia="宋体" w:cs="宋体"/>
                <w:spacing w:val="6"/>
                <w:lang w:val="en-US" w:eastAsia="zh-CN"/>
              </w:rPr>
            </w:pPr>
          </w:p>
        </w:tc>
        <w:tc>
          <w:tcPr>
            <w:tcW w:w="1673" w:type="dxa"/>
          </w:tcPr>
          <w:p w14:paraId="40BAE6BC">
            <w:pPr>
              <w:pStyle w:val="6"/>
              <w:spacing w:before="144" w:line="221" w:lineRule="auto"/>
              <w:ind w:left="104"/>
              <w:jc w:val="left"/>
              <w:rPr>
                <w:rFonts w:hint="default" w:ascii="宋体" w:hAnsi="宋体" w:eastAsia="宋体" w:cs="宋体"/>
                <w:spacing w:val="6"/>
                <w:lang w:val="en-US" w:eastAsia="zh-CN"/>
              </w:rPr>
            </w:pPr>
          </w:p>
        </w:tc>
      </w:tr>
      <w:tr w14:paraId="484D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0" w:type="dxa"/>
            <w:vAlign w:val="center"/>
          </w:tcPr>
          <w:p w14:paraId="0F0AF15E">
            <w:pPr>
              <w:pStyle w:val="6"/>
              <w:spacing w:before="60" w:line="291" w:lineRule="auto"/>
              <w:ind w:left="102" w:right="131"/>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2768" w:type="dxa"/>
            <w:vAlign w:val="center"/>
          </w:tcPr>
          <w:p w14:paraId="5890BED0">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严格依据甲方指令操作涵洞，遵守机电、启闭设备操作规程，严禁未经甲方同意擅自操作</w:t>
            </w:r>
            <w:r>
              <w:rPr>
                <w:rFonts w:hint="eastAsia" w:ascii="宋体" w:hAnsi="宋体" w:eastAsia="宋体" w:cs="宋体"/>
                <w:sz w:val="20"/>
                <w:szCs w:val="20"/>
                <w:lang w:val="en-US" w:eastAsia="zh-CN"/>
              </w:rPr>
              <w:t>。</w:t>
            </w:r>
          </w:p>
        </w:tc>
        <w:tc>
          <w:tcPr>
            <w:tcW w:w="2730" w:type="dxa"/>
            <w:vAlign w:val="center"/>
          </w:tcPr>
          <w:p w14:paraId="77360D15">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 xml:space="preserve">未按操作规程操作1次扣 </w:t>
            </w:r>
            <w:r>
              <w:rPr>
                <w:rFonts w:hint="eastAsia" w:ascii="宋体" w:hAnsi="宋体" w:eastAsia="宋体" w:cs="宋体"/>
                <w:sz w:val="20"/>
                <w:szCs w:val="20"/>
                <w:lang w:val="en-US" w:eastAsia="zh-CN"/>
              </w:rPr>
              <w:t>5</w:t>
            </w:r>
            <w:r>
              <w:rPr>
                <w:rFonts w:hint="default" w:ascii="宋体" w:hAnsi="宋体" w:eastAsia="宋体" w:cs="宋体"/>
                <w:sz w:val="20"/>
                <w:szCs w:val="20"/>
                <w:lang w:val="en-US" w:eastAsia="zh-CN"/>
              </w:rPr>
              <w:t>分；未经甲方同意擅自操作1次此项不得分，产生的一切后果由乙方自行承担</w:t>
            </w:r>
            <w:r>
              <w:rPr>
                <w:rFonts w:hint="eastAsia" w:ascii="宋体" w:hAnsi="宋体" w:eastAsia="宋体" w:cs="宋体"/>
                <w:sz w:val="20"/>
                <w:szCs w:val="20"/>
                <w:lang w:val="en-US" w:eastAsia="zh-CN"/>
              </w:rPr>
              <w:t>。</w:t>
            </w:r>
          </w:p>
        </w:tc>
        <w:tc>
          <w:tcPr>
            <w:tcW w:w="1170" w:type="dxa"/>
            <w:vAlign w:val="center"/>
          </w:tcPr>
          <w:p w14:paraId="4CA39CB9">
            <w:pPr>
              <w:spacing w:line="312" w:lineRule="auto"/>
              <w:jc w:val="center"/>
              <w:rPr>
                <w:rFonts w:hint="default" w:ascii="Arial"/>
                <w:sz w:val="21"/>
                <w:lang w:val="en-US" w:eastAsia="zh-CN"/>
              </w:rPr>
            </w:pPr>
            <w:r>
              <w:rPr>
                <w:rFonts w:hint="eastAsia" w:ascii="Arial"/>
                <w:sz w:val="21"/>
                <w:lang w:val="en-US" w:eastAsia="zh-CN"/>
              </w:rPr>
              <w:t>20</w:t>
            </w:r>
          </w:p>
        </w:tc>
        <w:tc>
          <w:tcPr>
            <w:tcW w:w="967" w:type="dxa"/>
          </w:tcPr>
          <w:p w14:paraId="603F439F">
            <w:pPr>
              <w:pStyle w:val="6"/>
              <w:spacing w:before="144" w:line="221" w:lineRule="auto"/>
              <w:ind w:left="104"/>
              <w:jc w:val="left"/>
              <w:rPr>
                <w:rFonts w:hint="default" w:ascii="宋体" w:hAnsi="宋体" w:eastAsia="宋体" w:cs="宋体"/>
                <w:spacing w:val="6"/>
                <w:lang w:val="en-US" w:eastAsia="zh-CN"/>
              </w:rPr>
            </w:pPr>
          </w:p>
        </w:tc>
        <w:tc>
          <w:tcPr>
            <w:tcW w:w="1673" w:type="dxa"/>
          </w:tcPr>
          <w:p w14:paraId="66114627">
            <w:pPr>
              <w:pStyle w:val="6"/>
              <w:spacing w:before="144" w:line="221" w:lineRule="auto"/>
              <w:ind w:left="104"/>
              <w:jc w:val="left"/>
              <w:rPr>
                <w:rFonts w:hint="default" w:ascii="宋体" w:hAnsi="宋体" w:eastAsia="宋体" w:cs="宋体"/>
                <w:spacing w:val="6"/>
                <w:lang w:val="en-US" w:eastAsia="zh-CN"/>
              </w:rPr>
            </w:pPr>
          </w:p>
        </w:tc>
      </w:tr>
      <w:tr w14:paraId="4D21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0" w:type="dxa"/>
            <w:vAlign w:val="center"/>
          </w:tcPr>
          <w:p w14:paraId="17DC771B">
            <w:pPr>
              <w:pStyle w:val="6"/>
              <w:spacing w:before="60" w:line="291" w:lineRule="auto"/>
              <w:ind w:left="102" w:right="131"/>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2768" w:type="dxa"/>
            <w:vAlign w:val="center"/>
          </w:tcPr>
          <w:p w14:paraId="652E01B4">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做好涵洞日常巡查养护，每日对涵洞主体、启闭设备、机电设施、进出口通道等进行巡查，及时清理淤积、漂浮物，保障涵道畅通</w:t>
            </w:r>
          </w:p>
        </w:tc>
        <w:tc>
          <w:tcPr>
            <w:tcW w:w="2730" w:type="dxa"/>
            <w:vAlign w:val="center"/>
          </w:tcPr>
          <w:p w14:paraId="77F6FCB6">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未按要求日常巡查，缺1 次记录扣2分；涵道淤积</w:t>
            </w:r>
            <w:r>
              <w:rPr>
                <w:rFonts w:hint="eastAsia" w:ascii="宋体" w:hAnsi="宋体" w:eastAsia="宋体" w:cs="宋体"/>
                <w:sz w:val="20"/>
                <w:szCs w:val="20"/>
                <w:lang w:val="en-US" w:eastAsia="zh-CN"/>
              </w:rPr>
              <w:t>、</w:t>
            </w:r>
            <w:r>
              <w:rPr>
                <w:rFonts w:hint="default" w:ascii="宋体" w:hAnsi="宋体" w:eastAsia="宋体" w:cs="宋体"/>
                <w:sz w:val="20"/>
                <w:szCs w:val="20"/>
                <w:lang w:val="en-US" w:eastAsia="zh-CN"/>
              </w:rPr>
              <w:t>进出口堵塞未及时清理，发现1次扣</w:t>
            </w:r>
            <w:r>
              <w:rPr>
                <w:rFonts w:hint="eastAsia" w:cs="宋体"/>
                <w:sz w:val="20"/>
                <w:szCs w:val="20"/>
                <w:lang w:val="en-US" w:eastAsia="zh-CN"/>
              </w:rPr>
              <w:t>2—</w:t>
            </w:r>
            <w:r>
              <w:rPr>
                <w:rFonts w:hint="default" w:ascii="宋体" w:hAnsi="宋体" w:eastAsia="宋体" w:cs="宋体"/>
                <w:sz w:val="20"/>
                <w:szCs w:val="20"/>
                <w:lang w:val="en-US" w:eastAsia="zh-CN"/>
              </w:rPr>
              <w:t>5分；设施故障未及时上报，发现1次扣</w:t>
            </w:r>
            <w:r>
              <w:rPr>
                <w:rFonts w:hint="eastAsia" w:cs="宋体"/>
                <w:sz w:val="20"/>
                <w:szCs w:val="20"/>
                <w:lang w:val="en-US" w:eastAsia="zh-CN"/>
              </w:rPr>
              <w:t>5</w:t>
            </w:r>
            <w:r>
              <w:rPr>
                <w:rFonts w:hint="default" w:ascii="宋体" w:hAnsi="宋体" w:eastAsia="宋体" w:cs="宋体"/>
                <w:sz w:val="20"/>
                <w:szCs w:val="20"/>
                <w:lang w:val="en-US" w:eastAsia="zh-CN"/>
              </w:rPr>
              <w:t>分</w:t>
            </w:r>
            <w:r>
              <w:rPr>
                <w:rFonts w:hint="eastAsia" w:ascii="宋体" w:hAnsi="宋体" w:eastAsia="宋体" w:cs="宋体"/>
                <w:sz w:val="20"/>
                <w:szCs w:val="20"/>
                <w:lang w:val="en-US" w:eastAsia="zh-CN"/>
              </w:rPr>
              <w:t>。</w:t>
            </w:r>
          </w:p>
        </w:tc>
        <w:tc>
          <w:tcPr>
            <w:tcW w:w="1170" w:type="dxa"/>
            <w:vAlign w:val="center"/>
          </w:tcPr>
          <w:p w14:paraId="38058496">
            <w:pPr>
              <w:spacing w:line="312" w:lineRule="auto"/>
              <w:jc w:val="center"/>
              <w:rPr>
                <w:rFonts w:hint="default" w:ascii="Arial"/>
                <w:sz w:val="21"/>
                <w:lang w:val="en-US" w:eastAsia="zh-CN"/>
              </w:rPr>
            </w:pPr>
            <w:r>
              <w:rPr>
                <w:rFonts w:hint="eastAsia" w:ascii="Arial"/>
                <w:sz w:val="21"/>
                <w:lang w:val="en-US" w:eastAsia="zh-CN"/>
              </w:rPr>
              <w:t>15</w:t>
            </w:r>
          </w:p>
        </w:tc>
        <w:tc>
          <w:tcPr>
            <w:tcW w:w="967" w:type="dxa"/>
          </w:tcPr>
          <w:p w14:paraId="66C7D32C">
            <w:pPr>
              <w:pStyle w:val="6"/>
              <w:spacing w:before="144" w:line="221" w:lineRule="auto"/>
              <w:ind w:left="104"/>
              <w:jc w:val="left"/>
              <w:rPr>
                <w:rFonts w:hint="default" w:ascii="宋体" w:hAnsi="宋体" w:eastAsia="宋体" w:cs="宋体"/>
                <w:spacing w:val="6"/>
                <w:lang w:val="en-US" w:eastAsia="zh-CN"/>
              </w:rPr>
            </w:pPr>
          </w:p>
        </w:tc>
        <w:tc>
          <w:tcPr>
            <w:tcW w:w="1673" w:type="dxa"/>
          </w:tcPr>
          <w:p w14:paraId="28AC54A7">
            <w:pPr>
              <w:pStyle w:val="6"/>
              <w:spacing w:before="144" w:line="221" w:lineRule="auto"/>
              <w:ind w:left="104"/>
              <w:jc w:val="left"/>
              <w:rPr>
                <w:rFonts w:hint="default" w:ascii="宋体" w:hAnsi="宋体" w:eastAsia="宋体" w:cs="宋体"/>
                <w:spacing w:val="6"/>
                <w:lang w:val="en-US" w:eastAsia="zh-CN"/>
              </w:rPr>
            </w:pPr>
          </w:p>
        </w:tc>
      </w:tr>
      <w:tr w14:paraId="28DD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0" w:type="dxa"/>
            <w:vAlign w:val="center"/>
          </w:tcPr>
          <w:p w14:paraId="3801E91E">
            <w:pPr>
              <w:pStyle w:val="6"/>
              <w:spacing w:before="60" w:line="291" w:lineRule="auto"/>
              <w:ind w:left="102" w:right="131"/>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2768" w:type="dxa"/>
            <w:vAlign w:val="center"/>
          </w:tcPr>
          <w:p w14:paraId="7340D7E9">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加强涵洞管理人员安全教育培训，定期开展安全生产学习，提高安全意识，杜绝安全事故</w:t>
            </w:r>
          </w:p>
        </w:tc>
        <w:tc>
          <w:tcPr>
            <w:tcW w:w="2730" w:type="dxa"/>
            <w:vAlign w:val="center"/>
          </w:tcPr>
          <w:p w14:paraId="67FC11A4">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未定期开展安全教育培训（每</w:t>
            </w:r>
            <w:r>
              <w:rPr>
                <w:rFonts w:hint="eastAsia" w:cs="宋体"/>
                <w:sz w:val="20"/>
                <w:szCs w:val="20"/>
                <w:lang w:val="en-US" w:eastAsia="zh-CN"/>
              </w:rPr>
              <w:t>年</w:t>
            </w:r>
            <w:r>
              <w:rPr>
                <w:rFonts w:hint="default" w:ascii="宋体" w:hAnsi="宋体" w:eastAsia="宋体" w:cs="宋体"/>
                <w:sz w:val="20"/>
                <w:szCs w:val="20"/>
                <w:lang w:val="en-US" w:eastAsia="zh-CN"/>
              </w:rPr>
              <w:t>至少1次），</w:t>
            </w:r>
            <w:r>
              <w:rPr>
                <w:rFonts w:hint="eastAsia" w:cs="宋体"/>
                <w:sz w:val="20"/>
                <w:szCs w:val="20"/>
                <w:lang w:val="en-US" w:eastAsia="zh-CN"/>
              </w:rPr>
              <w:t>未做好</w:t>
            </w:r>
            <w:r>
              <w:rPr>
                <w:rFonts w:hint="default" w:ascii="宋体" w:hAnsi="宋体" w:eastAsia="宋体" w:cs="宋体"/>
                <w:sz w:val="20"/>
                <w:szCs w:val="20"/>
                <w:lang w:val="en-US" w:eastAsia="zh-CN"/>
              </w:rPr>
              <w:t>1次扣</w:t>
            </w:r>
            <w:r>
              <w:rPr>
                <w:rFonts w:hint="eastAsia" w:cs="宋体"/>
                <w:sz w:val="20"/>
                <w:szCs w:val="20"/>
                <w:lang w:val="en-US" w:eastAsia="zh-CN"/>
              </w:rPr>
              <w:t>3</w:t>
            </w:r>
            <w:r>
              <w:rPr>
                <w:rFonts w:hint="default" w:ascii="宋体" w:hAnsi="宋体" w:eastAsia="宋体" w:cs="宋体"/>
                <w:sz w:val="20"/>
                <w:szCs w:val="20"/>
                <w:lang w:val="en-US" w:eastAsia="zh-CN"/>
              </w:rPr>
              <w:t>分；未做好培训记录，1次扣2分；发生安全生产事故，此项不得分</w:t>
            </w:r>
            <w:r>
              <w:rPr>
                <w:rFonts w:hint="eastAsia" w:ascii="宋体" w:hAnsi="宋体" w:eastAsia="宋体" w:cs="宋体"/>
                <w:sz w:val="20"/>
                <w:szCs w:val="20"/>
                <w:lang w:val="en-US" w:eastAsia="zh-CN"/>
              </w:rPr>
              <w:t>。</w:t>
            </w:r>
          </w:p>
        </w:tc>
        <w:tc>
          <w:tcPr>
            <w:tcW w:w="1170" w:type="dxa"/>
            <w:vAlign w:val="center"/>
          </w:tcPr>
          <w:p w14:paraId="03D93015">
            <w:pPr>
              <w:spacing w:line="312" w:lineRule="auto"/>
              <w:jc w:val="center"/>
              <w:rPr>
                <w:rFonts w:hint="default" w:ascii="Arial"/>
                <w:sz w:val="21"/>
                <w:lang w:val="en-US" w:eastAsia="zh-CN"/>
              </w:rPr>
            </w:pPr>
            <w:r>
              <w:rPr>
                <w:rFonts w:hint="eastAsia" w:ascii="Arial"/>
                <w:sz w:val="21"/>
                <w:lang w:val="en-US" w:eastAsia="zh-CN"/>
              </w:rPr>
              <w:t>10</w:t>
            </w:r>
          </w:p>
        </w:tc>
        <w:tc>
          <w:tcPr>
            <w:tcW w:w="967" w:type="dxa"/>
          </w:tcPr>
          <w:p w14:paraId="65A3AB0E">
            <w:pPr>
              <w:pStyle w:val="6"/>
              <w:spacing w:before="144" w:line="221" w:lineRule="auto"/>
              <w:ind w:left="104"/>
              <w:jc w:val="left"/>
              <w:rPr>
                <w:rFonts w:hint="default" w:ascii="宋体" w:hAnsi="宋体" w:eastAsia="宋体" w:cs="宋体"/>
                <w:spacing w:val="6"/>
                <w:lang w:val="en-US" w:eastAsia="zh-CN"/>
              </w:rPr>
            </w:pPr>
          </w:p>
        </w:tc>
        <w:tc>
          <w:tcPr>
            <w:tcW w:w="1673" w:type="dxa"/>
          </w:tcPr>
          <w:p w14:paraId="25186E6C">
            <w:pPr>
              <w:pStyle w:val="6"/>
              <w:spacing w:before="144" w:line="221" w:lineRule="auto"/>
              <w:ind w:left="104"/>
              <w:jc w:val="left"/>
              <w:rPr>
                <w:rFonts w:hint="default" w:ascii="宋体" w:hAnsi="宋体" w:eastAsia="宋体" w:cs="宋体"/>
                <w:spacing w:val="6"/>
                <w:lang w:val="en-US" w:eastAsia="zh-CN"/>
              </w:rPr>
            </w:pPr>
          </w:p>
        </w:tc>
      </w:tr>
      <w:tr w14:paraId="1FBF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0" w:type="dxa"/>
            <w:vAlign w:val="center"/>
          </w:tcPr>
          <w:p w14:paraId="46B1F2CB">
            <w:pPr>
              <w:pStyle w:val="6"/>
              <w:spacing w:before="60" w:line="291" w:lineRule="auto"/>
              <w:ind w:left="102" w:right="131"/>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2768" w:type="dxa"/>
            <w:vAlign w:val="center"/>
          </w:tcPr>
          <w:p w14:paraId="2E4EF2AF">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规范填写涵洞运行、操作、巡查、养护等各类台账记录，做到内容真实、数据准确、档案齐全</w:t>
            </w:r>
          </w:p>
        </w:tc>
        <w:tc>
          <w:tcPr>
            <w:tcW w:w="2730" w:type="dxa"/>
            <w:vAlign w:val="center"/>
          </w:tcPr>
          <w:p w14:paraId="1C323806">
            <w:pPr>
              <w:pStyle w:val="6"/>
              <w:spacing w:before="60" w:line="291" w:lineRule="auto"/>
              <w:ind w:right="131" w:rightChars="0"/>
              <w:jc w:val="left"/>
              <w:rPr>
                <w:rFonts w:hint="eastAsia" w:ascii="宋体" w:hAnsi="宋体" w:eastAsia="宋体" w:cs="宋体"/>
                <w:sz w:val="20"/>
                <w:szCs w:val="20"/>
                <w:lang w:val="en-US" w:eastAsia="zh-CN"/>
              </w:rPr>
            </w:pPr>
            <w:r>
              <w:rPr>
                <w:rFonts w:ascii="宋体" w:hAnsi="宋体" w:eastAsia="宋体" w:cs="宋体"/>
                <w:sz w:val="20"/>
                <w:szCs w:val="20"/>
              </w:rPr>
              <w:t>无日常运行巡查记录，1 次扣3分；记录不规范、数据缺失虚假，1次扣2 分；台账未按要求归档，扣</w:t>
            </w:r>
            <w:r>
              <w:rPr>
                <w:rFonts w:hint="eastAsia" w:ascii="宋体" w:hAnsi="宋体" w:eastAsia="宋体" w:cs="宋体"/>
                <w:sz w:val="20"/>
                <w:szCs w:val="20"/>
                <w:lang w:val="en-US" w:eastAsia="zh-CN"/>
              </w:rPr>
              <w:t>2</w:t>
            </w:r>
            <w:r>
              <w:rPr>
                <w:rFonts w:ascii="宋体" w:hAnsi="宋体" w:eastAsia="宋体" w:cs="宋体"/>
                <w:sz w:val="20"/>
                <w:szCs w:val="20"/>
              </w:rPr>
              <w:t>分</w:t>
            </w:r>
            <w:r>
              <w:rPr>
                <w:rFonts w:hint="eastAsia" w:ascii="宋体" w:hAnsi="宋体" w:eastAsia="宋体" w:cs="宋体"/>
                <w:sz w:val="20"/>
                <w:szCs w:val="20"/>
                <w:lang w:eastAsia="zh-CN"/>
              </w:rPr>
              <w:t>。</w:t>
            </w:r>
          </w:p>
        </w:tc>
        <w:tc>
          <w:tcPr>
            <w:tcW w:w="1170" w:type="dxa"/>
            <w:vAlign w:val="center"/>
          </w:tcPr>
          <w:p w14:paraId="72994B33">
            <w:pPr>
              <w:spacing w:line="312" w:lineRule="auto"/>
              <w:jc w:val="center"/>
              <w:rPr>
                <w:rFonts w:hint="default" w:ascii="Arial"/>
                <w:sz w:val="21"/>
                <w:lang w:val="en-US" w:eastAsia="zh-CN"/>
              </w:rPr>
            </w:pPr>
            <w:r>
              <w:rPr>
                <w:rFonts w:hint="eastAsia" w:ascii="Arial"/>
                <w:sz w:val="21"/>
                <w:lang w:val="en-US" w:eastAsia="zh-CN"/>
              </w:rPr>
              <w:t>15</w:t>
            </w:r>
          </w:p>
        </w:tc>
        <w:tc>
          <w:tcPr>
            <w:tcW w:w="967" w:type="dxa"/>
          </w:tcPr>
          <w:p w14:paraId="5DDC70FE">
            <w:pPr>
              <w:pStyle w:val="6"/>
              <w:spacing w:before="144" w:line="221" w:lineRule="auto"/>
              <w:ind w:left="104"/>
              <w:jc w:val="left"/>
              <w:rPr>
                <w:rFonts w:hint="default" w:ascii="宋体" w:hAnsi="宋体" w:eastAsia="宋体" w:cs="宋体"/>
                <w:spacing w:val="6"/>
                <w:lang w:val="en-US" w:eastAsia="zh-CN"/>
              </w:rPr>
            </w:pPr>
          </w:p>
        </w:tc>
        <w:tc>
          <w:tcPr>
            <w:tcW w:w="1673" w:type="dxa"/>
          </w:tcPr>
          <w:p w14:paraId="0AD78C46">
            <w:pPr>
              <w:pStyle w:val="6"/>
              <w:spacing w:before="144" w:line="221" w:lineRule="auto"/>
              <w:ind w:left="104"/>
              <w:jc w:val="left"/>
              <w:rPr>
                <w:rFonts w:hint="default" w:ascii="宋体" w:hAnsi="宋体" w:eastAsia="宋体" w:cs="宋体"/>
                <w:spacing w:val="6"/>
                <w:lang w:val="en-US" w:eastAsia="zh-CN"/>
              </w:rPr>
            </w:pPr>
          </w:p>
        </w:tc>
      </w:tr>
      <w:tr w14:paraId="49BA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0" w:type="dxa"/>
            <w:vAlign w:val="center"/>
          </w:tcPr>
          <w:p w14:paraId="31B9C239">
            <w:pPr>
              <w:pStyle w:val="6"/>
              <w:spacing w:before="60" w:line="291" w:lineRule="auto"/>
              <w:ind w:left="102" w:right="131"/>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6</w:t>
            </w:r>
          </w:p>
        </w:tc>
        <w:tc>
          <w:tcPr>
            <w:tcW w:w="2768" w:type="dxa"/>
            <w:vAlign w:val="center"/>
          </w:tcPr>
          <w:p w14:paraId="5425E757">
            <w:pPr>
              <w:pStyle w:val="6"/>
              <w:spacing w:before="60" w:line="291" w:lineRule="auto"/>
              <w:ind w:left="102" w:leftChars="0"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配合甲方做好防汛抗台、应急处置、水利检查、精细化管理创建等工作，服从甲方统一调度安排</w:t>
            </w:r>
          </w:p>
        </w:tc>
        <w:tc>
          <w:tcPr>
            <w:tcW w:w="2730" w:type="dxa"/>
            <w:vAlign w:val="center"/>
          </w:tcPr>
          <w:p w14:paraId="698A9EB3">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防汛抗台期间未按要求到岗值守，1次扣6分；不配合</w:t>
            </w:r>
            <w:r>
              <w:rPr>
                <w:rFonts w:hint="eastAsia" w:ascii="宋体" w:hAnsi="宋体" w:eastAsia="宋体" w:cs="宋体"/>
                <w:sz w:val="20"/>
                <w:szCs w:val="20"/>
                <w:lang w:val="en-US" w:eastAsia="zh-CN"/>
              </w:rPr>
              <w:t>度假区</w:t>
            </w:r>
            <w:r>
              <w:rPr>
                <w:rFonts w:hint="default" w:ascii="宋体" w:hAnsi="宋体" w:eastAsia="宋体" w:cs="宋体"/>
                <w:sz w:val="20"/>
                <w:szCs w:val="20"/>
                <w:lang w:val="en-US" w:eastAsia="zh-CN"/>
              </w:rPr>
              <w:t>检查</w:t>
            </w:r>
            <w:r>
              <w:rPr>
                <w:rFonts w:hint="eastAsia" w:ascii="宋体" w:hAnsi="宋体" w:eastAsia="宋体" w:cs="宋体"/>
                <w:sz w:val="20"/>
                <w:szCs w:val="20"/>
                <w:lang w:val="en-US" w:eastAsia="zh-CN"/>
              </w:rPr>
              <w:t>、</w:t>
            </w:r>
            <w:r>
              <w:rPr>
                <w:rFonts w:hint="default" w:ascii="宋体" w:hAnsi="宋体" w:eastAsia="宋体" w:cs="宋体"/>
                <w:sz w:val="20"/>
                <w:szCs w:val="20"/>
                <w:lang w:val="en-US" w:eastAsia="zh-CN"/>
              </w:rPr>
              <w:t>创建工作，视情况扣3</w:t>
            </w:r>
            <w:r>
              <w:rPr>
                <w:rFonts w:hint="eastAsia" w:cs="宋体"/>
                <w:sz w:val="20"/>
                <w:szCs w:val="20"/>
                <w:lang w:val="en-US" w:eastAsia="zh-CN"/>
              </w:rPr>
              <w:t>—</w:t>
            </w:r>
            <w:r>
              <w:rPr>
                <w:rFonts w:hint="default" w:ascii="宋体" w:hAnsi="宋体" w:eastAsia="宋体" w:cs="宋体"/>
                <w:sz w:val="20"/>
                <w:szCs w:val="20"/>
                <w:lang w:val="en-US" w:eastAsia="zh-CN"/>
              </w:rPr>
              <w:t>5分；不服从</w:t>
            </w:r>
            <w:r>
              <w:rPr>
                <w:rFonts w:hint="eastAsia" w:ascii="宋体" w:hAnsi="宋体" w:eastAsia="宋体" w:cs="宋体"/>
                <w:sz w:val="20"/>
                <w:szCs w:val="20"/>
                <w:lang w:val="en-US" w:eastAsia="zh-CN"/>
              </w:rPr>
              <w:t>度假区</w:t>
            </w:r>
            <w:r>
              <w:rPr>
                <w:rFonts w:hint="default" w:ascii="宋体" w:hAnsi="宋体" w:eastAsia="宋体" w:cs="宋体"/>
                <w:sz w:val="20"/>
                <w:szCs w:val="20"/>
                <w:lang w:val="en-US" w:eastAsia="zh-CN"/>
              </w:rPr>
              <w:t>调度安排，1 次扣</w:t>
            </w:r>
            <w:r>
              <w:rPr>
                <w:rFonts w:hint="eastAsia" w:ascii="宋体" w:hAnsi="宋体" w:eastAsia="宋体" w:cs="宋体"/>
                <w:sz w:val="20"/>
                <w:szCs w:val="20"/>
                <w:lang w:val="en-US" w:eastAsia="zh-CN"/>
              </w:rPr>
              <w:t>5</w:t>
            </w:r>
            <w:r>
              <w:rPr>
                <w:rFonts w:hint="default" w:ascii="宋体" w:hAnsi="宋体" w:eastAsia="宋体" w:cs="宋体"/>
                <w:sz w:val="20"/>
                <w:szCs w:val="20"/>
                <w:lang w:val="en-US" w:eastAsia="zh-CN"/>
              </w:rPr>
              <w:t>分</w:t>
            </w:r>
            <w:r>
              <w:rPr>
                <w:rFonts w:hint="eastAsia" w:ascii="宋体" w:hAnsi="宋体" w:eastAsia="宋体" w:cs="宋体"/>
                <w:sz w:val="20"/>
                <w:szCs w:val="20"/>
                <w:lang w:val="en-US" w:eastAsia="zh-CN"/>
              </w:rPr>
              <w:t>。</w:t>
            </w:r>
          </w:p>
        </w:tc>
        <w:tc>
          <w:tcPr>
            <w:tcW w:w="1170" w:type="dxa"/>
            <w:vAlign w:val="center"/>
          </w:tcPr>
          <w:p w14:paraId="6012B6DF">
            <w:pPr>
              <w:spacing w:line="312" w:lineRule="auto"/>
              <w:jc w:val="center"/>
              <w:rPr>
                <w:rFonts w:hint="default" w:ascii="Arial"/>
                <w:sz w:val="21"/>
                <w:lang w:val="en-US" w:eastAsia="zh-CN"/>
              </w:rPr>
            </w:pPr>
            <w:r>
              <w:rPr>
                <w:rFonts w:hint="eastAsia" w:ascii="Arial"/>
                <w:sz w:val="21"/>
                <w:lang w:val="en-US" w:eastAsia="zh-CN"/>
              </w:rPr>
              <w:t>10</w:t>
            </w:r>
          </w:p>
        </w:tc>
        <w:tc>
          <w:tcPr>
            <w:tcW w:w="967" w:type="dxa"/>
          </w:tcPr>
          <w:p w14:paraId="245B9C8D">
            <w:pPr>
              <w:pStyle w:val="6"/>
              <w:spacing w:before="144" w:line="221" w:lineRule="auto"/>
              <w:ind w:left="104"/>
              <w:jc w:val="left"/>
              <w:rPr>
                <w:rFonts w:hint="default" w:ascii="宋体" w:hAnsi="宋体" w:eastAsia="宋体" w:cs="宋体"/>
                <w:spacing w:val="6"/>
                <w:lang w:val="en-US" w:eastAsia="zh-CN"/>
              </w:rPr>
            </w:pPr>
          </w:p>
        </w:tc>
        <w:tc>
          <w:tcPr>
            <w:tcW w:w="1673" w:type="dxa"/>
          </w:tcPr>
          <w:p w14:paraId="49562C83">
            <w:pPr>
              <w:pStyle w:val="6"/>
              <w:spacing w:before="144" w:line="221" w:lineRule="auto"/>
              <w:ind w:left="104"/>
              <w:jc w:val="left"/>
              <w:rPr>
                <w:rFonts w:hint="default" w:ascii="宋体" w:hAnsi="宋体" w:eastAsia="宋体" w:cs="宋体"/>
                <w:spacing w:val="6"/>
                <w:lang w:val="en-US" w:eastAsia="zh-CN"/>
              </w:rPr>
            </w:pPr>
          </w:p>
        </w:tc>
      </w:tr>
      <w:tr w14:paraId="3621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0" w:type="dxa"/>
            <w:vAlign w:val="center"/>
          </w:tcPr>
          <w:p w14:paraId="6B34A5E4">
            <w:pPr>
              <w:pStyle w:val="6"/>
              <w:spacing w:before="60" w:line="291" w:lineRule="auto"/>
              <w:ind w:left="102" w:right="131"/>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7</w:t>
            </w:r>
          </w:p>
        </w:tc>
        <w:tc>
          <w:tcPr>
            <w:tcW w:w="2768" w:type="dxa"/>
            <w:vAlign w:val="center"/>
          </w:tcPr>
          <w:p w14:paraId="78D4BE39">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做好涵洞管理范围内环境卫生，保持设施周边整洁，无乱堆乱放、杂草丛生等情况</w:t>
            </w:r>
          </w:p>
        </w:tc>
        <w:tc>
          <w:tcPr>
            <w:tcW w:w="2730" w:type="dxa"/>
            <w:vAlign w:val="center"/>
          </w:tcPr>
          <w:p w14:paraId="75B098F2">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管理区域环境卫生脏乱，发现1次扣</w:t>
            </w:r>
            <w:r>
              <w:rPr>
                <w:rFonts w:hint="eastAsia" w:ascii="宋体" w:hAnsi="宋体" w:eastAsia="宋体" w:cs="宋体"/>
                <w:sz w:val="20"/>
                <w:szCs w:val="20"/>
                <w:lang w:val="en-US" w:eastAsia="zh-CN"/>
              </w:rPr>
              <w:t>1</w:t>
            </w:r>
            <w:r>
              <w:rPr>
                <w:rFonts w:hint="eastAsia" w:cs="宋体"/>
                <w:sz w:val="20"/>
                <w:szCs w:val="20"/>
                <w:lang w:val="en-US" w:eastAsia="zh-CN"/>
              </w:rPr>
              <w:t>—</w:t>
            </w:r>
            <w:r>
              <w:rPr>
                <w:rFonts w:hint="eastAsia" w:ascii="宋体" w:hAnsi="宋体" w:eastAsia="宋体" w:cs="宋体"/>
                <w:sz w:val="20"/>
                <w:szCs w:val="20"/>
                <w:lang w:val="en-US" w:eastAsia="zh-CN"/>
              </w:rPr>
              <w:t>2</w:t>
            </w:r>
            <w:r>
              <w:rPr>
                <w:rFonts w:hint="default" w:ascii="宋体" w:hAnsi="宋体" w:eastAsia="宋体" w:cs="宋体"/>
                <w:sz w:val="20"/>
                <w:szCs w:val="20"/>
                <w:lang w:val="en-US" w:eastAsia="zh-CN"/>
              </w:rPr>
              <w:t>分；设施周边乱堆乱放杂草未及时清理，1次扣</w:t>
            </w:r>
            <w:r>
              <w:rPr>
                <w:rFonts w:hint="eastAsia" w:ascii="宋体" w:hAnsi="宋体" w:eastAsia="宋体" w:cs="宋体"/>
                <w:sz w:val="20"/>
                <w:szCs w:val="20"/>
                <w:lang w:val="en-US" w:eastAsia="zh-CN"/>
              </w:rPr>
              <w:t>1</w:t>
            </w:r>
            <w:r>
              <w:rPr>
                <w:rFonts w:hint="eastAsia" w:cs="宋体"/>
                <w:sz w:val="20"/>
                <w:szCs w:val="20"/>
                <w:lang w:val="en-US" w:eastAsia="zh-CN"/>
              </w:rPr>
              <w:t>—</w:t>
            </w:r>
            <w:r>
              <w:rPr>
                <w:rFonts w:hint="eastAsia" w:ascii="宋体" w:hAnsi="宋体" w:eastAsia="宋体" w:cs="宋体"/>
                <w:sz w:val="20"/>
                <w:szCs w:val="20"/>
                <w:lang w:val="en-US" w:eastAsia="zh-CN"/>
              </w:rPr>
              <w:t>2</w:t>
            </w:r>
            <w:r>
              <w:rPr>
                <w:rFonts w:hint="default" w:ascii="宋体" w:hAnsi="宋体" w:eastAsia="宋体" w:cs="宋体"/>
                <w:sz w:val="20"/>
                <w:szCs w:val="20"/>
                <w:lang w:val="en-US" w:eastAsia="zh-CN"/>
              </w:rPr>
              <w:t>分</w:t>
            </w:r>
            <w:r>
              <w:rPr>
                <w:rFonts w:hint="eastAsia" w:ascii="宋体" w:hAnsi="宋体" w:eastAsia="宋体" w:cs="宋体"/>
                <w:sz w:val="20"/>
                <w:szCs w:val="20"/>
                <w:lang w:val="en-US" w:eastAsia="zh-CN"/>
              </w:rPr>
              <w:t>。</w:t>
            </w:r>
          </w:p>
        </w:tc>
        <w:tc>
          <w:tcPr>
            <w:tcW w:w="1170" w:type="dxa"/>
            <w:vAlign w:val="center"/>
          </w:tcPr>
          <w:p w14:paraId="7B8271AA">
            <w:pPr>
              <w:spacing w:line="312" w:lineRule="auto"/>
              <w:jc w:val="center"/>
              <w:rPr>
                <w:rFonts w:hint="default" w:ascii="Arial"/>
                <w:sz w:val="21"/>
                <w:lang w:val="en-US" w:eastAsia="zh-CN"/>
              </w:rPr>
            </w:pPr>
            <w:r>
              <w:rPr>
                <w:rFonts w:hint="eastAsia" w:ascii="Arial"/>
                <w:sz w:val="21"/>
                <w:lang w:val="en-US" w:eastAsia="zh-CN"/>
              </w:rPr>
              <w:t>5</w:t>
            </w:r>
          </w:p>
        </w:tc>
        <w:tc>
          <w:tcPr>
            <w:tcW w:w="967" w:type="dxa"/>
          </w:tcPr>
          <w:p w14:paraId="54B06380">
            <w:pPr>
              <w:pStyle w:val="6"/>
              <w:spacing w:before="144" w:line="221" w:lineRule="auto"/>
              <w:ind w:left="104"/>
              <w:jc w:val="left"/>
              <w:rPr>
                <w:rFonts w:hint="default" w:ascii="宋体" w:hAnsi="宋体" w:eastAsia="宋体" w:cs="宋体"/>
                <w:spacing w:val="6"/>
                <w:lang w:val="en-US" w:eastAsia="zh-CN"/>
              </w:rPr>
            </w:pPr>
          </w:p>
        </w:tc>
        <w:tc>
          <w:tcPr>
            <w:tcW w:w="1673" w:type="dxa"/>
          </w:tcPr>
          <w:p w14:paraId="0F64A8F9">
            <w:pPr>
              <w:pStyle w:val="6"/>
              <w:spacing w:before="144" w:line="221" w:lineRule="auto"/>
              <w:ind w:left="104"/>
              <w:jc w:val="left"/>
              <w:rPr>
                <w:rFonts w:hint="default" w:ascii="宋体" w:hAnsi="宋体" w:eastAsia="宋体" w:cs="宋体"/>
                <w:spacing w:val="6"/>
                <w:lang w:val="en-US" w:eastAsia="zh-CN"/>
              </w:rPr>
            </w:pPr>
          </w:p>
        </w:tc>
      </w:tr>
      <w:tr w14:paraId="0956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0" w:type="dxa"/>
            <w:vAlign w:val="center"/>
          </w:tcPr>
          <w:p w14:paraId="25BC955B">
            <w:pPr>
              <w:pStyle w:val="6"/>
              <w:spacing w:before="60" w:line="291" w:lineRule="auto"/>
              <w:ind w:left="102" w:right="131"/>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8</w:t>
            </w:r>
          </w:p>
        </w:tc>
        <w:tc>
          <w:tcPr>
            <w:tcW w:w="2768" w:type="dxa"/>
            <w:vAlign w:val="center"/>
          </w:tcPr>
          <w:p w14:paraId="787FC8DA">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遇台风、暴雨、设施故障、水情异常等突发事件，立即上报甲方，并启动应急处置措施，果断处置</w:t>
            </w:r>
          </w:p>
        </w:tc>
        <w:tc>
          <w:tcPr>
            <w:tcW w:w="2730" w:type="dxa"/>
            <w:vAlign w:val="center"/>
          </w:tcPr>
          <w:p w14:paraId="3F127199">
            <w:pPr>
              <w:pStyle w:val="6"/>
              <w:spacing w:before="60" w:line="291" w:lineRule="auto"/>
              <w:ind w:right="131" w:rightChars="0"/>
              <w:jc w:val="left"/>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突发事件未及时上报，1 次扣4分；未启动应急措施</w:t>
            </w:r>
            <w:r>
              <w:rPr>
                <w:rFonts w:hint="eastAsia" w:ascii="宋体" w:hAnsi="宋体" w:eastAsia="宋体" w:cs="宋体"/>
                <w:sz w:val="20"/>
                <w:szCs w:val="20"/>
                <w:lang w:val="en-US" w:eastAsia="zh-CN"/>
              </w:rPr>
              <w:t>、</w:t>
            </w:r>
            <w:r>
              <w:rPr>
                <w:rFonts w:hint="default" w:ascii="宋体" w:hAnsi="宋体" w:eastAsia="宋体" w:cs="宋体"/>
                <w:sz w:val="20"/>
                <w:szCs w:val="20"/>
                <w:lang w:val="en-US" w:eastAsia="zh-CN"/>
              </w:rPr>
              <w:t>处置不当，1次扣6分，造成损失的由乙方承担赔偿责任</w:t>
            </w:r>
            <w:r>
              <w:rPr>
                <w:rFonts w:hint="eastAsia" w:ascii="宋体" w:hAnsi="宋体" w:eastAsia="宋体" w:cs="宋体"/>
                <w:sz w:val="20"/>
                <w:szCs w:val="20"/>
                <w:lang w:val="en-US" w:eastAsia="zh-CN"/>
              </w:rPr>
              <w:t>。</w:t>
            </w:r>
          </w:p>
        </w:tc>
        <w:tc>
          <w:tcPr>
            <w:tcW w:w="1170" w:type="dxa"/>
            <w:vAlign w:val="center"/>
          </w:tcPr>
          <w:p w14:paraId="206D3AEB">
            <w:pPr>
              <w:spacing w:line="312" w:lineRule="auto"/>
              <w:jc w:val="center"/>
              <w:rPr>
                <w:rFonts w:hint="default" w:ascii="Arial"/>
                <w:sz w:val="21"/>
                <w:lang w:val="en-US" w:eastAsia="zh-CN"/>
              </w:rPr>
            </w:pPr>
            <w:r>
              <w:rPr>
                <w:rFonts w:hint="eastAsia" w:ascii="Arial"/>
                <w:sz w:val="21"/>
                <w:lang w:val="en-US" w:eastAsia="zh-CN"/>
              </w:rPr>
              <w:t>10</w:t>
            </w:r>
          </w:p>
        </w:tc>
        <w:tc>
          <w:tcPr>
            <w:tcW w:w="967" w:type="dxa"/>
          </w:tcPr>
          <w:p w14:paraId="56DA620E">
            <w:pPr>
              <w:pStyle w:val="6"/>
              <w:spacing w:before="144" w:line="221" w:lineRule="auto"/>
              <w:ind w:left="104"/>
              <w:jc w:val="left"/>
              <w:rPr>
                <w:rFonts w:hint="default" w:ascii="宋体" w:hAnsi="宋体" w:eastAsia="宋体" w:cs="宋体"/>
                <w:spacing w:val="6"/>
                <w:lang w:val="en-US" w:eastAsia="zh-CN"/>
              </w:rPr>
            </w:pPr>
          </w:p>
        </w:tc>
        <w:tc>
          <w:tcPr>
            <w:tcW w:w="1673" w:type="dxa"/>
          </w:tcPr>
          <w:p w14:paraId="20E800B8">
            <w:pPr>
              <w:pStyle w:val="6"/>
              <w:spacing w:before="144" w:line="221" w:lineRule="auto"/>
              <w:ind w:left="104"/>
              <w:jc w:val="left"/>
              <w:rPr>
                <w:rFonts w:hint="default" w:ascii="宋体" w:hAnsi="宋体" w:eastAsia="宋体" w:cs="宋体"/>
                <w:spacing w:val="6"/>
                <w:lang w:val="en-US" w:eastAsia="zh-CN"/>
              </w:rPr>
            </w:pPr>
          </w:p>
        </w:tc>
      </w:tr>
      <w:tr w14:paraId="428F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840" w:type="dxa"/>
            <w:vAlign w:val="center"/>
          </w:tcPr>
          <w:p w14:paraId="713ABADC">
            <w:pPr>
              <w:spacing w:line="312" w:lineRule="auto"/>
              <w:jc w:val="center"/>
              <w:rPr>
                <w:rFonts w:hint="default" w:ascii="Arial"/>
                <w:sz w:val="21"/>
                <w:lang w:val="en-US" w:eastAsia="zh-CN"/>
              </w:rPr>
            </w:pPr>
            <w:r>
              <w:rPr>
                <w:rFonts w:hint="eastAsia" w:ascii="Arial"/>
                <w:sz w:val="21"/>
                <w:lang w:val="en-US" w:eastAsia="zh-CN"/>
              </w:rPr>
              <w:t>合计</w:t>
            </w:r>
          </w:p>
        </w:tc>
        <w:tc>
          <w:tcPr>
            <w:tcW w:w="2768" w:type="dxa"/>
            <w:vAlign w:val="center"/>
          </w:tcPr>
          <w:p w14:paraId="614D347E">
            <w:pPr>
              <w:spacing w:line="312" w:lineRule="auto"/>
              <w:jc w:val="center"/>
              <w:rPr>
                <w:rFonts w:hint="default" w:ascii="Arial"/>
                <w:sz w:val="21"/>
                <w:lang w:val="en-US" w:eastAsia="zh-CN"/>
              </w:rPr>
            </w:pPr>
          </w:p>
        </w:tc>
        <w:tc>
          <w:tcPr>
            <w:tcW w:w="2730" w:type="dxa"/>
            <w:vAlign w:val="center"/>
          </w:tcPr>
          <w:p w14:paraId="65D68032">
            <w:pPr>
              <w:spacing w:line="312" w:lineRule="auto"/>
              <w:jc w:val="center"/>
              <w:rPr>
                <w:rFonts w:hint="default" w:ascii="Arial"/>
                <w:sz w:val="21"/>
                <w:lang w:val="en-US" w:eastAsia="zh-CN"/>
              </w:rPr>
            </w:pPr>
          </w:p>
        </w:tc>
        <w:tc>
          <w:tcPr>
            <w:tcW w:w="1170" w:type="dxa"/>
            <w:vAlign w:val="center"/>
          </w:tcPr>
          <w:p w14:paraId="034879D1">
            <w:pPr>
              <w:spacing w:line="312" w:lineRule="auto"/>
              <w:jc w:val="center"/>
              <w:rPr>
                <w:rFonts w:hint="default" w:ascii="Arial"/>
                <w:sz w:val="21"/>
                <w:lang w:val="en-US" w:eastAsia="zh-CN"/>
              </w:rPr>
            </w:pPr>
            <w:r>
              <w:rPr>
                <w:rFonts w:hint="eastAsia" w:ascii="Arial"/>
                <w:sz w:val="21"/>
                <w:lang w:val="en-US" w:eastAsia="zh-CN"/>
              </w:rPr>
              <w:t>100</w:t>
            </w:r>
          </w:p>
        </w:tc>
        <w:tc>
          <w:tcPr>
            <w:tcW w:w="967" w:type="dxa"/>
          </w:tcPr>
          <w:p w14:paraId="5F98BFB3">
            <w:pPr>
              <w:pStyle w:val="6"/>
              <w:spacing w:before="144" w:line="221" w:lineRule="auto"/>
              <w:ind w:left="104"/>
              <w:jc w:val="left"/>
              <w:rPr>
                <w:rFonts w:hint="default" w:ascii="宋体" w:hAnsi="宋体" w:eastAsia="宋体" w:cs="宋体"/>
                <w:spacing w:val="6"/>
                <w:lang w:val="en-US" w:eastAsia="zh-CN"/>
              </w:rPr>
            </w:pPr>
          </w:p>
        </w:tc>
        <w:tc>
          <w:tcPr>
            <w:tcW w:w="1673" w:type="dxa"/>
          </w:tcPr>
          <w:p w14:paraId="69E8D90B">
            <w:pPr>
              <w:pStyle w:val="6"/>
              <w:spacing w:before="144" w:line="221" w:lineRule="auto"/>
              <w:ind w:left="104"/>
              <w:jc w:val="left"/>
              <w:rPr>
                <w:rFonts w:hint="default" w:ascii="宋体" w:hAnsi="宋体" w:eastAsia="宋体" w:cs="宋体"/>
                <w:spacing w:val="6"/>
                <w:lang w:val="en-US" w:eastAsia="zh-CN"/>
              </w:rPr>
            </w:pPr>
          </w:p>
        </w:tc>
      </w:tr>
    </w:tbl>
    <w:p w14:paraId="2A600FAA">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pacing w:val="5"/>
          <w:sz w:val="27"/>
          <w:szCs w:val="27"/>
          <w:lang w:val="en-US" w:eastAsia="zh-CN"/>
        </w:rPr>
      </w:pPr>
      <w:r>
        <w:rPr>
          <w:rFonts w:hint="default" w:ascii="Times New Roman" w:hAnsi="Times New Roman" w:eastAsia="仿宋" w:cs="Times New Roman"/>
          <w:spacing w:val="5"/>
          <w:sz w:val="27"/>
          <w:szCs w:val="27"/>
          <w:lang w:val="en-US" w:eastAsia="zh-CN"/>
        </w:rPr>
        <w:t>考核说明：</w:t>
      </w:r>
    </w:p>
    <w:p w14:paraId="11EA7F07">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cs="Times New Roman"/>
          <w:lang w:val="en-US" w:eastAsia="zh-CN"/>
        </w:rPr>
      </w:pPr>
      <w:r>
        <w:rPr>
          <w:rFonts w:hint="eastAsia" w:ascii="Times New Roman" w:hAnsi="Times New Roman" w:eastAsia="仿宋" w:cs="Times New Roman"/>
          <w:spacing w:val="5"/>
          <w:sz w:val="27"/>
          <w:szCs w:val="27"/>
          <w:lang w:val="en-US" w:eastAsia="zh-CN"/>
        </w:rPr>
        <w:t>1.</w:t>
      </w:r>
      <w:r>
        <w:rPr>
          <w:rFonts w:hint="default" w:ascii="Times New Roman" w:hAnsi="Times New Roman" w:eastAsia="仿宋" w:cs="Times New Roman"/>
          <w:spacing w:val="5"/>
          <w:sz w:val="27"/>
          <w:szCs w:val="27"/>
          <w:lang w:val="en-US" w:eastAsia="zh-CN"/>
        </w:rPr>
        <w:t>考核结果实行百分制，半年度考核得分 95 分（含）以上，全额支付当期涵洞管理经费；95分以下的，每低1分扣当次管理经费的1%。</w:t>
      </w:r>
    </w:p>
    <w:p w14:paraId="6B1C8F9B">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cs="Times New Roman"/>
          <w:lang w:val="en-US" w:eastAsia="zh-CN"/>
        </w:rPr>
      </w:pPr>
      <w:r>
        <w:rPr>
          <w:rFonts w:hint="eastAsia" w:ascii="Times New Roman" w:hAnsi="Times New Roman" w:eastAsia="仿宋" w:cs="Times New Roman"/>
          <w:spacing w:val="5"/>
          <w:sz w:val="27"/>
          <w:szCs w:val="27"/>
          <w:lang w:val="en-US" w:eastAsia="zh-CN"/>
        </w:rPr>
        <w:t>2.</w:t>
      </w:r>
      <w:r>
        <w:rPr>
          <w:rFonts w:hint="default" w:ascii="Times New Roman" w:hAnsi="Times New Roman" w:eastAsia="仿宋" w:cs="Times New Roman"/>
          <w:spacing w:val="5"/>
          <w:sz w:val="27"/>
          <w:szCs w:val="27"/>
          <w:lang w:val="en-US" w:eastAsia="zh-CN"/>
        </w:rPr>
        <w:t>半年度考核得分低于90分（不含），甲方有权单方面终止涵洞委托管理协议，收回涵洞管理权限，且不承担任何违约责任。</w:t>
      </w:r>
    </w:p>
    <w:p w14:paraId="1C84EB16">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cs="Times New Roman"/>
          <w:lang w:val="en-US" w:eastAsia="zh-CN"/>
        </w:rPr>
      </w:pPr>
      <w:r>
        <w:rPr>
          <w:rFonts w:hint="eastAsia" w:ascii="Times New Roman" w:hAnsi="Times New Roman" w:eastAsia="仿宋" w:cs="Times New Roman"/>
          <w:spacing w:val="5"/>
          <w:sz w:val="27"/>
          <w:szCs w:val="27"/>
          <w:lang w:val="en-US" w:eastAsia="zh-CN"/>
        </w:rPr>
        <w:t>3.</w:t>
      </w:r>
      <w:r>
        <w:rPr>
          <w:rFonts w:hint="default" w:ascii="Times New Roman" w:hAnsi="Times New Roman" w:eastAsia="仿宋" w:cs="Times New Roman"/>
          <w:spacing w:val="5"/>
          <w:sz w:val="27"/>
          <w:szCs w:val="27"/>
          <w:lang w:val="en-US" w:eastAsia="zh-CN"/>
        </w:rPr>
        <w:t>考核过程中，乙方需提供台账记录、培训资料、巡查记录等相关佐证材料，无佐证材料的，相关考核项按不合格计分。</w:t>
      </w:r>
    </w:p>
    <w:p w14:paraId="76327C2B">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cs="Times New Roman"/>
          <w:lang w:val="en-US" w:eastAsia="zh-CN"/>
        </w:rPr>
      </w:pPr>
      <w:r>
        <w:rPr>
          <w:rFonts w:hint="eastAsia" w:ascii="Times New Roman" w:hAnsi="Times New Roman" w:eastAsia="仿宋" w:cs="Times New Roman"/>
          <w:spacing w:val="5"/>
          <w:sz w:val="27"/>
          <w:szCs w:val="27"/>
          <w:lang w:val="en-US" w:eastAsia="zh-CN"/>
        </w:rPr>
        <w:t>4.</w:t>
      </w:r>
      <w:r>
        <w:rPr>
          <w:rFonts w:hint="default" w:ascii="Times New Roman" w:hAnsi="Times New Roman" w:eastAsia="仿宋" w:cs="Times New Roman"/>
          <w:spacing w:val="5"/>
          <w:sz w:val="27"/>
          <w:szCs w:val="27"/>
          <w:lang w:val="en-US" w:eastAsia="zh-CN"/>
        </w:rPr>
        <w:t>甲方可根据度假区水利工作实际、防汛要求及上级管理规定，对本考核细则的考核内容、评分标准进行调整，调整后提前5个工作日告知乙方。</w:t>
      </w:r>
    </w:p>
    <w:p w14:paraId="0C02A447">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cs="Times New Roman"/>
          <w:lang w:val="en-US" w:eastAsia="zh-CN"/>
        </w:rPr>
      </w:pPr>
      <w:r>
        <w:rPr>
          <w:rFonts w:hint="eastAsia" w:ascii="Times New Roman" w:hAnsi="Times New Roman" w:eastAsia="仿宋" w:cs="Times New Roman"/>
          <w:spacing w:val="5"/>
          <w:sz w:val="27"/>
          <w:szCs w:val="27"/>
          <w:lang w:val="en-US" w:eastAsia="zh-CN"/>
        </w:rPr>
        <w:t>5.</w:t>
      </w:r>
      <w:r>
        <w:rPr>
          <w:rFonts w:hint="default" w:ascii="Times New Roman" w:hAnsi="Times New Roman" w:eastAsia="仿宋" w:cs="Times New Roman"/>
          <w:spacing w:val="5"/>
          <w:sz w:val="27"/>
          <w:szCs w:val="27"/>
          <w:lang w:val="en-US" w:eastAsia="zh-CN"/>
        </w:rPr>
        <w:t>本考核细则作为双山香山旅游度假区过江涵洞委托管理协议的补充条款，与协议具有同等法律效力，未尽事宜由甲乙双方协商解决。</w:t>
      </w:r>
    </w:p>
    <w:p w14:paraId="61A62C99">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pacing w:val="5"/>
          <w:sz w:val="27"/>
          <w:szCs w:val="27"/>
          <w:lang w:val="en-US" w:eastAsia="zh-CN"/>
        </w:rPr>
      </w:pPr>
      <w:r>
        <w:rPr>
          <w:rFonts w:hint="eastAsia" w:ascii="Times New Roman" w:hAnsi="Times New Roman" w:eastAsia="仿宋" w:cs="Times New Roman"/>
          <w:spacing w:val="5"/>
          <w:sz w:val="27"/>
          <w:szCs w:val="27"/>
          <w:lang w:val="en-US" w:eastAsia="zh-CN"/>
        </w:rPr>
        <w:t>6.</w:t>
      </w:r>
      <w:r>
        <w:rPr>
          <w:rFonts w:hint="default" w:ascii="Times New Roman" w:hAnsi="Times New Roman" w:eastAsia="仿宋" w:cs="Times New Roman"/>
          <w:spacing w:val="5"/>
          <w:sz w:val="27"/>
          <w:szCs w:val="27"/>
          <w:lang w:val="en-US" w:eastAsia="zh-CN"/>
        </w:rPr>
        <w:t>本考核细则适用于双山新围圩涵洞、双山新圩涵洞、双山老圩涵洞的日常管理考核，由张家港双山香山旅游度假区管理委员会双山岛综合管理部负责解释与执行。</w:t>
      </w:r>
    </w:p>
    <w:p w14:paraId="497F636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40641D"/>
    <w:rsid w:val="55406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2026-04-27T08:24:00Z</dcterms:created>
  <dc:creator>NTKO</dc:creator>
  <cp:lastModifiedBy>NTKO</cp:lastModifiedBy>
  <dcterms:modified xsi:type="dcterms:W3CDTF">2026-04-27T08:25:05Z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1325FF32B15E416795A92336087707B9_11</vt:lpwstr>
  </property>
  <property fmtid="{D5CDD505-2E9C-101B-9397-08002B2CF9AE}" pid="4" name="KSOTemplateDocerSaveRecord">
    <vt:lpwstr>eyJoZGlkIjoiNTNhNjMxMjg4MTZkNjMyMmFlMWI3ZTFkZWQ5MWE0ZDAiLCJ1c2VySWQiOiIyNDMxNzg0NjgifQ==</vt:lpwstr>
  </property>
</Properties>
</file>