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C857BF">
      <w:pPr>
        <w:keepNext w:val="0"/>
        <w:keepLines w:val="0"/>
        <w:pageBreakBefore w:val="0"/>
        <w:widowControl w:val="0"/>
        <w:kinsoku/>
        <w:wordWrap/>
        <w:overflowPunct/>
        <w:topLinePunct w:val="0"/>
        <w:autoSpaceDE/>
        <w:autoSpaceDN/>
        <w:bidi w:val="0"/>
        <w:adjustRightInd/>
        <w:snapToGrid/>
        <w:spacing w:line="520" w:lineRule="exact"/>
        <w:ind w:firstLine="0" w:firstLineChars="0"/>
        <w:jc w:val="both"/>
        <w:textAlignment w:val="auto"/>
        <w:outlineLvl w:val="0"/>
        <w:rPr>
          <w:rFonts w:hint="default" w:ascii="Times New Roman" w:hAnsi="Times New Roman" w:eastAsia="黑体" w:cs="Times New Roman"/>
          <w:b w:val="0"/>
          <w:bCs w:val="0"/>
          <w:spacing w:val="16"/>
          <w:sz w:val="32"/>
          <w:szCs w:val="32"/>
          <w:lang w:val="en-US" w:eastAsia="zh-CN"/>
        </w:rPr>
      </w:pPr>
      <w:r>
        <w:rPr>
          <w:rFonts w:hint="eastAsia" w:ascii="黑体" w:hAnsi="黑体" w:eastAsia="黑体" w:cs="黑体"/>
          <w:b w:val="0"/>
          <w:bCs w:val="0"/>
          <w:spacing w:val="16"/>
          <w:sz w:val="32"/>
          <w:szCs w:val="32"/>
          <w:lang w:val="en-US" w:eastAsia="zh-CN"/>
        </w:rPr>
        <w:t>附件</w:t>
      </w:r>
      <w:r>
        <w:rPr>
          <w:rFonts w:hint="default" w:ascii="Times New Roman" w:hAnsi="Times New Roman" w:eastAsia="黑体" w:cs="Times New Roman"/>
          <w:b w:val="0"/>
          <w:bCs w:val="0"/>
          <w:spacing w:val="16"/>
          <w:sz w:val="32"/>
          <w:szCs w:val="32"/>
          <w:lang w:val="en-US" w:eastAsia="zh-CN"/>
        </w:rPr>
        <w:t>3</w:t>
      </w:r>
    </w:p>
    <w:p w14:paraId="598EF747">
      <w:pPr>
        <w:keepNext w:val="0"/>
        <w:keepLines w:val="0"/>
        <w:pageBreakBefore w:val="0"/>
        <w:widowControl w:val="0"/>
        <w:kinsoku/>
        <w:wordWrap/>
        <w:overflowPunct/>
        <w:topLinePunct w:val="0"/>
        <w:autoSpaceDE/>
        <w:autoSpaceDN/>
        <w:bidi w:val="0"/>
        <w:adjustRightInd/>
        <w:snapToGrid/>
        <w:spacing w:line="520" w:lineRule="exact"/>
        <w:ind w:firstLine="0" w:firstLineChars="0"/>
        <w:jc w:val="both"/>
        <w:textAlignment w:val="auto"/>
        <w:outlineLvl w:val="0"/>
        <w:rPr>
          <w:rFonts w:hint="default" w:ascii="Times New Roman" w:hAnsi="Times New Roman" w:eastAsia="黑体" w:cs="Times New Roman"/>
          <w:b w:val="0"/>
          <w:bCs w:val="0"/>
          <w:spacing w:val="16"/>
          <w:sz w:val="32"/>
          <w:szCs w:val="32"/>
          <w:lang w:val="en-US" w:eastAsia="zh-CN"/>
        </w:rPr>
      </w:pPr>
    </w:p>
    <w:p w14:paraId="218D7163">
      <w:pPr>
        <w:keepNext w:val="0"/>
        <w:keepLines w:val="0"/>
        <w:pageBreakBefore w:val="0"/>
        <w:widowControl w:val="0"/>
        <w:kinsoku/>
        <w:wordWrap/>
        <w:overflowPunct/>
        <w:topLinePunct w:val="0"/>
        <w:autoSpaceDE/>
        <w:autoSpaceDN/>
        <w:bidi w:val="0"/>
        <w:adjustRightInd/>
        <w:snapToGrid/>
        <w:spacing w:line="520" w:lineRule="exact"/>
        <w:ind w:firstLine="0" w:firstLineChars="0"/>
        <w:jc w:val="both"/>
        <w:textAlignment w:val="auto"/>
        <w:outlineLvl w:val="0"/>
        <w:rPr>
          <w:rFonts w:ascii="仿宋" w:hAnsi="仿宋" w:eastAsia="仿宋" w:cs="仿宋"/>
          <w:b/>
          <w:bCs/>
          <w:sz w:val="32"/>
          <w:szCs w:val="32"/>
        </w:rPr>
      </w:pPr>
      <w:r>
        <w:rPr>
          <w:rFonts w:hint="eastAsia" w:ascii="Times New Roman" w:hAnsi="Times New Roman" w:eastAsia="黑体" w:cs="Times New Roman"/>
          <w:b w:val="0"/>
          <w:bCs w:val="0"/>
          <w:spacing w:val="16"/>
          <w:sz w:val="32"/>
          <w:szCs w:val="32"/>
          <w:lang w:val="en-US" w:eastAsia="zh-CN"/>
        </w:rPr>
        <w:t xml:space="preserve">          </w:t>
      </w:r>
      <w:r>
        <w:rPr>
          <w:rFonts w:ascii="仿宋" w:hAnsi="仿宋" w:eastAsia="仿宋" w:cs="仿宋"/>
          <w:b/>
          <w:bCs/>
          <w:spacing w:val="16"/>
          <w:sz w:val="32"/>
          <w:szCs w:val="32"/>
        </w:rPr>
        <w:t>双山南闸、北闸运行管理考核表</w:t>
      </w:r>
    </w:p>
    <w:p w14:paraId="7F22E084">
      <w:pPr>
        <w:spacing w:before="237"/>
        <w:rPr>
          <w:rFonts w:hint="default" w:ascii="仿宋" w:hAnsi="仿宋" w:eastAsia="仿宋" w:cs="仿宋"/>
          <w:spacing w:val="5"/>
          <w:sz w:val="27"/>
          <w:szCs w:val="27"/>
          <w:lang w:val="en-US" w:eastAsia="zh-CN"/>
        </w:rPr>
      </w:pPr>
      <w:r>
        <w:rPr>
          <w:rFonts w:hint="eastAsia"/>
          <w:lang w:val="en-US" w:eastAsia="zh-CN"/>
        </w:rPr>
        <w:t xml:space="preserve"> </w:t>
      </w:r>
      <w:r>
        <w:rPr>
          <w:rFonts w:hint="eastAsia" w:ascii="仿宋" w:hAnsi="仿宋" w:eastAsia="仿宋" w:cs="仿宋"/>
          <w:spacing w:val="5"/>
          <w:sz w:val="27"/>
          <w:szCs w:val="27"/>
          <w:lang w:val="en-US" w:eastAsia="zh-CN"/>
        </w:rPr>
        <w:t>考核闸站：             考核时间：               考核人：</w:t>
      </w:r>
    </w:p>
    <w:tbl>
      <w:tblPr>
        <w:tblStyle w:val="6"/>
        <w:tblpPr w:leftFromText="180" w:rightFromText="180" w:vertAnchor="text" w:horzAnchor="page" w:tblpX="929" w:tblpY="359"/>
        <w:tblOverlap w:val="never"/>
        <w:tblW w:w="1065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44"/>
        <w:gridCol w:w="2837"/>
        <w:gridCol w:w="2858"/>
        <w:gridCol w:w="889"/>
        <w:gridCol w:w="1139"/>
        <w:gridCol w:w="2283"/>
      </w:tblGrid>
      <w:tr w14:paraId="23CD11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644" w:type="dxa"/>
            <w:vAlign w:val="top"/>
          </w:tcPr>
          <w:p w14:paraId="2221C652">
            <w:pPr>
              <w:pStyle w:val="5"/>
              <w:spacing w:before="144" w:line="221" w:lineRule="auto"/>
              <w:ind w:left="104"/>
              <w:jc w:val="left"/>
            </w:pPr>
            <w:r>
              <w:rPr>
                <w:spacing w:val="6"/>
              </w:rPr>
              <w:t>序号</w:t>
            </w:r>
          </w:p>
        </w:tc>
        <w:tc>
          <w:tcPr>
            <w:tcW w:w="2837" w:type="dxa"/>
            <w:vAlign w:val="top"/>
          </w:tcPr>
          <w:p w14:paraId="7AA8ECD2">
            <w:pPr>
              <w:pStyle w:val="5"/>
              <w:spacing w:before="143" w:line="219" w:lineRule="auto"/>
              <w:ind w:left="690"/>
              <w:jc w:val="left"/>
            </w:pPr>
            <w:r>
              <w:rPr>
                <w:spacing w:val="-14"/>
              </w:rPr>
              <w:t>考</w:t>
            </w:r>
            <w:r>
              <w:rPr>
                <w:spacing w:val="4"/>
              </w:rPr>
              <w:t xml:space="preserve">  </w:t>
            </w:r>
            <w:r>
              <w:rPr>
                <w:spacing w:val="-14"/>
              </w:rPr>
              <w:t>核</w:t>
            </w:r>
            <w:r>
              <w:rPr>
                <w:spacing w:val="15"/>
              </w:rPr>
              <w:t xml:space="preserve">  </w:t>
            </w:r>
            <w:r>
              <w:rPr>
                <w:spacing w:val="-14"/>
              </w:rPr>
              <w:t>内</w:t>
            </w:r>
            <w:r>
              <w:rPr>
                <w:spacing w:val="4"/>
              </w:rPr>
              <w:t xml:space="preserve">  </w:t>
            </w:r>
            <w:r>
              <w:rPr>
                <w:spacing w:val="-14"/>
              </w:rPr>
              <w:t>容</w:t>
            </w:r>
          </w:p>
        </w:tc>
        <w:tc>
          <w:tcPr>
            <w:tcW w:w="2858" w:type="dxa"/>
            <w:vAlign w:val="top"/>
          </w:tcPr>
          <w:p w14:paraId="4F9D7A1D">
            <w:pPr>
              <w:pStyle w:val="5"/>
              <w:spacing w:before="144" w:line="220" w:lineRule="auto"/>
              <w:ind w:left="803"/>
              <w:jc w:val="left"/>
            </w:pPr>
            <w:r>
              <w:rPr>
                <w:spacing w:val="-5"/>
              </w:rPr>
              <w:t>评 分</w:t>
            </w:r>
            <w:r>
              <w:rPr>
                <w:spacing w:val="4"/>
              </w:rPr>
              <w:t xml:space="preserve"> </w:t>
            </w:r>
            <w:r>
              <w:rPr>
                <w:spacing w:val="-5"/>
              </w:rPr>
              <w:t>标</w:t>
            </w:r>
            <w:r>
              <w:rPr>
                <w:spacing w:val="4"/>
              </w:rPr>
              <w:t xml:space="preserve"> </w:t>
            </w:r>
            <w:r>
              <w:rPr>
                <w:spacing w:val="-5"/>
              </w:rPr>
              <w:t>准</w:t>
            </w:r>
          </w:p>
        </w:tc>
        <w:tc>
          <w:tcPr>
            <w:tcW w:w="889" w:type="dxa"/>
            <w:vAlign w:val="top"/>
          </w:tcPr>
          <w:p w14:paraId="4B874232">
            <w:pPr>
              <w:pStyle w:val="5"/>
              <w:spacing w:before="144" w:line="220" w:lineRule="auto"/>
              <w:ind w:left="185"/>
              <w:jc w:val="left"/>
            </w:pPr>
            <w:r>
              <w:rPr>
                <w:spacing w:val="-3"/>
              </w:rPr>
              <w:t>标准分</w:t>
            </w:r>
          </w:p>
        </w:tc>
        <w:tc>
          <w:tcPr>
            <w:tcW w:w="1139" w:type="dxa"/>
            <w:vAlign w:val="top"/>
          </w:tcPr>
          <w:p w14:paraId="5A7391AB">
            <w:pPr>
              <w:pStyle w:val="5"/>
              <w:spacing w:before="143" w:line="219" w:lineRule="auto"/>
              <w:ind w:left="256"/>
              <w:jc w:val="left"/>
            </w:pPr>
            <w:r>
              <w:rPr>
                <w:spacing w:val="-2"/>
              </w:rPr>
              <w:t>考核分</w:t>
            </w:r>
          </w:p>
        </w:tc>
        <w:tc>
          <w:tcPr>
            <w:tcW w:w="2283" w:type="dxa"/>
            <w:vAlign w:val="top"/>
          </w:tcPr>
          <w:p w14:paraId="1D40189D">
            <w:pPr>
              <w:pStyle w:val="5"/>
              <w:spacing w:before="144" w:line="220" w:lineRule="auto"/>
              <w:ind w:left="803"/>
              <w:jc w:val="left"/>
              <w:rPr>
                <w:rFonts w:ascii="宋体" w:hAnsi="宋体" w:eastAsia="宋体" w:cs="宋体"/>
                <w:spacing w:val="-5"/>
              </w:rPr>
            </w:pPr>
            <w:r>
              <w:rPr>
                <w:rFonts w:ascii="宋体" w:hAnsi="宋体" w:eastAsia="宋体" w:cs="宋体"/>
                <w:spacing w:val="-5"/>
              </w:rPr>
              <w:t>扣分说明</w:t>
            </w:r>
          </w:p>
        </w:tc>
      </w:tr>
      <w:tr w14:paraId="57B654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38" w:hRule="atLeast"/>
        </w:trPr>
        <w:tc>
          <w:tcPr>
            <w:tcW w:w="644" w:type="dxa"/>
            <w:vAlign w:val="top"/>
          </w:tcPr>
          <w:p w14:paraId="2E1A8123">
            <w:pPr>
              <w:pStyle w:val="5"/>
              <w:spacing w:before="53" w:line="219" w:lineRule="auto"/>
              <w:ind w:left="102"/>
              <w:jc w:val="center"/>
              <w:rPr>
                <w:rFonts w:ascii="宋体" w:hAnsi="宋体" w:eastAsia="宋体" w:cs="宋体"/>
                <w:spacing w:val="11"/>
                <w:sz w:val="20"/>
                <w:szCs w:val="20"/>
              </w:rPr>
            </w:pPr>
          </w:p>
          <w:p w14:paraId="1A16CE2F">
            <w:pPr>
              <w:pStyle w:val="5"/>
              <w:spacing w:before="53" w:line="219" w:lineRule="auto"/>
              <w:ind w:left="102"/>
              <w:jc w:val="center"/>
              <w:rPr>
                <w:rFonts w:ascii="宋体" w:hAnsi="宋体" w:eastAsia="宋体" w:cs="宋体"/>
                <w:spacing w:val="11"/>
                <w:sz w:val="20"/>
                <w:szCs w:val="20"/>
              </w:rPr>
            </w:pPr>
          </w:p>
          <w:p w14:paraId="52E90676">
            <w:pPr>
              <w:pStyle w:val="5"/>
              <w:spacing w:before="53" w:line="219" w:lineRule="auto"/>
              <w:ind w:left="102"/>
              <w:jc w:val="center"/>
              <w:rPr>
                <w:rFonts w:ascii="宋体" w:hAnsi="宋体" w:eastAsia="宋体" w:cs="宋体"/>
                <w:spacing w:val="11"/>
                <w:sz w:val="20"/>
                <w:szCs w:val="20"/>
              </w:rPr>
            </w:pPr>
          </w:p>
          <w:p w14:paraId="49C361FF">
            <w:pPr>
              <w:pStyle w:val="5"/>
              <w:spacing w:before="53" w:line="219" w:lineRule="auto"/>
              <w:ind w:left="102"/>
              <w:jc w:val="center"/>
              <w:rPr>
                <w:rFonts w:ascii="宋体" w:hAnsi="宋体" w:eastAsia="宋体" w:cs="宋体"/>
                <w:spacing w:val="11"/>
                <w:sz w:val="20"/>
                <w:szCs w:val="20"/>
              </w:rPr>
            </w:pPr>
          </w:p>
          <w:p w14:paraId="7B99E949">
            <w:pPr>
              <w:pStyle w:val="5"/>
              <w:spacing w:before="53" w:line="219" w:lineRule="auto"/>
              <w:ind w:left="102"/>
              <w:jc w:val="center"/>
              <w:rPr>
                <w:rFonts w:ascii="宋体" w:hAnsi="宋体" w:eastAsia="宋体" w:cs="宋体"/>
                <w:spacing w:val="11"/>
                <w:sz w:val="20"/>
                <w:szCs w:val="20"/>
              </w:rPr>
            </w:pPr>
            <w:r>
              <w:rPr>
                <w:rFonts w:ascii="宋体" w:hAnsi="宋体" w:eastAsia="宋体" w:cs="宋体"/>
                <w:spacing w:val="11"/>
                <w:sz w:val="20"/>
                <w:szCs w:val="20"/>
              </w:rPr>
              <w:t>l</w:t>
            </w:r>
          </w:p>
        </w:tc>
        <w:tc>
          <w:tcPr>
            <w:tcW w:w="2837" w:type="dxa"/>
            <w:vAlign w:val="center"/>
          </w:tcPr>
          <w:p w14:paraId="70E1512B">
            <w:pPr>
              <w:pStyle w:val="5"/>
              <w:keepNext w:val="0"/>
              <w:keepLines w:val="0"/>
              <w:pageBreakBefore w:val="0"/>
              <w:widowControl w:val="0"/>
              <w:kinsoku/>
              <w:wordWrap/>
              <w:overflowPunct/>
              <w:topLinePunct w:val="0"/>
              <w:autoSpaceDE/>
              <w:autoSpaceDN/>
              <w:bidi w:val="0"/>
              <w:adjustRightInd/>
              <w:snapToGrid/>
              <w:spacing w:before="53" w:line="240" w:lineRule="auto"/>
              <w:jc w:val="left"/>
              <w:textAlignment w:val="auto"/>
              <w:rPr>
                <w:rFonts w:ascii="宋体" w:hAnsi="宋体" w:eastAsia="宋体" w:cs="宋体"/>
                <w:spacing w:val="11"/>
                <w:sz w:val="20"/>
                <w:szCs w:val="20"/>
              </w:rPr>
            </w:pPr>
            <w:r>
              <w:rPr>
                <w:rFonts w:ascii="宋体" w:hAnsi="宋体" w:eastAsia="宋体" w:cs="宋体"/>
                <w:spacing w:val="11"/>
                <w:sz w:val="20"/>
                <w:szCs w:val="20"/>
              </w:rPr>
              <w:t>安排熟练掌握操作技能的技术人员作为上述闸站管理人员， 做好上述泵站和水闸的引排调 度运行管理以及机电、启闭设备等的日常养护工作，确保工程正常运转。</w:t>
            </w:r>
          </w:p>
        </w:tc>
        <w:tc>
          <w:tcPr>
            <w:tcW w:w="2858" w:type="dxa"/>
            <w:vAlign w:val="center"/>
          </w:tcPr>
          <w:p w14:paraId="613229D5">
            <w:pPr>
              <w:pStyle w:val="5"/>
              <w:keepNext w:val="0"/>
              <w:keepLines w:val="0"/>
              <w:pageBreakBefore w:val="0"/>
              <w:widowControl w:val="0"/>
              <w:kinsoku/>
              <w:wordWrap/>
              <w:overflowPunct/>
              <w:topLinePunct w:val="0"/>
              <w:autoSpaceDE/>
              <w:autoSpaceDN/>
              <w:bidi w:val="0"/>
              <w:adjustRightInd/>
              <w:snapToGrid/>
              <w:spacing w:before="53" w:line="240" w:lineRule="auto"/>
              <w:jc w:val="left"/>
              <w:textAlignment w:val="auto"/>
              <w:rPr>
                <w:rFonts w:ascii="宋体" w:hAnsi="宋体" w:eastAsia="宋体" w:cs="宋体"/>
                <w:spacing w:val="11"/>
                <w:sz w:val="20"/>
                <w:szCs w:val="20"/>
              </w:rPr>
            </w:pPr>
            <w:r>
              <w:rPr>
                <w:rFonts w:ascii="宋体" w:hAnsi="宋体" w:eastAsia="宋体" w:cs="宋体"/>
                <w:spacing w:val="11"/>
                <w:sz w:val="20"/>
                <w:szCs w:val="20"/>
              </w:rPr>
              <w:t>运行人员技能不合格的，发现</w:t>
            </w:r>
            <w:r>
              <w:rPr>
                <w:rFonts w:hint="eastAsia" w:cs="宋体"/>
                <w:spacing w:val="11"/>
                <w:sz w:val="20"/>
                <w:szCs w:val="20"/>
                <w:lang w:val="en-US" w:eastAsia="zh-CN"/>
              </w:rPr>
              <w:t>一</w:t>
            </w:r>
            <w:r>
              <w:rPr>
                <w:rFonts w:ascii="宋体" w:hAnsi="宋体" w:eastAsia="宋体" w:cs="宋体"/>
                <w:spacing w:val="11"/>
                <w:sz w:val="20"/>
                <w:szCs w:val="20"/>
              </w:rPr>
              <w:t>次扣3分</w:t>
            </w:r>
            <w:r>
              <w:rPr>
                <w:rFonts w:hint="eastAsia" w:cs="宋体"/>
                <w:spacing w:val="11"/>
                <w:sz w:val="20"/>
                <w:szCs w:val="20"/>
                <w:lang w:eastAsia="zh-CN"/>
              </w:rPr>
              <w:t>；</w:t>
            </w:r>
            <w:r>
              <w:rPr>
                <w:rFonts w:ascii="宋体" w:hAnsi="宋体" w:eastAsia="宋体" w:cs="宋体"/>
                <w:spacing w:val="11"/>
                <w:sz w:val="20"/>
                <w:szCs w:val="20"/>
              </w:rPr>
              <w:t>因操作失误、擅离岗位发现一次扣5分；造成一定后果，发生一次扣5 分；造成损失的由中标人进行赔偿。</w:t>
            </w:r>
          </w:p>
        </w:tc>
        <w:tc>
          <w:tcPr>
            <w:tcW w:w="889" w:type="dxa"/>
            <w:vAlign w:val="top"/>
          </w:tcPr>
          <w:p w14:paraId="5A63922C">
            <w:pPr>
              <w:spacing w:line="273" w:lineRule="auto"/>
              <w:jc w:val="left"/>
              <w:rPr>
                <w:rFonts w:ascii="Arial"/>
                <w:sz w:val="21"/>
              </w:rPr>
            </w:pPr>
          </w:p>
          <w:p w14:paraId="73FDEEA9">
            <w:pPr>
              <w:spacing w:line="274" w:lineRule="auto"/>
              <w:jc w:val="left"/>
              <w:rPr>
                <w:rFonts w:ascii="Arial"/>
                <w:sz w:val="21"/>
              </w:rPr>
            </w:pPr>
          </w:p>
          <w:p w14:paraId="1F60CC28">
            <w:pPr>
              <w:spacing w:line="274" w:lineRule="auto"/>
              <w:jc w:val="left"/>
              <w:rPr>
                <w:rFonts w:ascii="Arial"/>
                <w:sz w:val="21"/>
              </w:rPr>
            </w:pPr>
          </w:p>
          <w:p w14:paraId="763198D3">
            <w:pPr>
              <w:spacing w:line="274" w:lineRule="auto"/>
              <w:jc w:val="left"/>
              <w:rPr>
                <w:rFonts w:ascii="Arial"/>
                <w:sz w:val="21"/>
              </w:rPr>
            </w:pPr>
          </w:p>
          <w:p w14:paraId="0E8139EC">
            <w:pPr>
              <w:pStyle w:val="5"/>
              <w:spacing w:before="68"/>
              <w:ind w:left="395"/>
              <w:jc w:val="left"/>
            </w:pPr>
            <w:r>
              <w:rPr>
                <w:spacing w:val="-3"/>
              </w:rPr>
              <w:t>20</w:t>
            </w:r>
          </w:p>
        </w:tc>
        <w:tc>
          <w:tcPr>
            <w:tcW w:w="1139" w:type="dxa"/>
            <w:vAlign w:val="top"/>
          </w:tcPr>
          <w:p w14:paraId="59EA643C">
            <w:pPr>
              <w:jc w:val="left"/>
              <w:rPr>
                <w:rFonts w:ascii="Arial"/>
                <w:sz w:val="21"/>
              </w:rPr>
            </w:pPr>
          </w:p>
        </w:tc>
        <w:tc>
          <w:tcPr>
            <w:tcW w:w="2283" w:type="dxa"/>
            <w:vAlign w:val="top"/>
          </w:tcPr>
          <w:p w14:paraId="722B6A1E">
            <w:pPr>
              <w:jc w:val="left"/>
              <w:rPr>
                <w:rFonts w:ascii="Arial"/>
                <w:sz w:val="21"/>
              </w:rPr>
            </w:pPr>
          </w:p>
        </w:tc>
      </w:tr>
      <w:tr w14:paraId="63EAB6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18" w:hRule="atLeast"/>
        </w:trPr>
        <w:tc>
          <w:tcPr>
            <w:tcW w:w="644" w:type="dxa"/>
            <w:vAlign w:val="top"/>
          </w:tcPr>
          <w:p w14:paraId="1ACBED02">
            <w:pPr>
              <w:pStyle w:val="5"/>
              <w:spacing w:before="53" w:line="219" w:lineRule="auto"/>
              <w:ind w:left="102"/>
              <w:jc w:val="center"/>
              <w:rPr>
                <w:rFonts w:ascii="宋体" w:hAnsi="宋体" w:eastAsia="宋体" w:cs="宋体"/>
                <w:spacing w:val="11"/>
                <w:sz w:val="20"/>
                <w:szCs w:val="20"/>
              </w:rPr>
            </w:pPr>
          </w:p>
          <w:p w14:paraId="4CA3948C">
            <w:pPr>
              <w:pStyle w:val="5"/>
              <w:spacing w:before="53" w:line="219" w:lineRule="auto"/>
              <w:ind w:left="102"/>
              <w:jc w:val="center"/>
              <w:rPr>
                <w:rFonts w:ascii="宋体" w:hAnsi="宋体" w:eastAsia="宋体" w:cs="宋体"/>
                <w:spacing w:val="11"/>
                <w:sz w:val="20"/>
                <w:szCs w:val="20"/>
              </w:rPr>
            </w:pPr>
          </w:p>
          <w:p w14:paraId="73CE5C79">
            <w:pPr>
              <w:pStyle w:val="5"/>
              <w:spacing w:before="53" w:line="219" w:lineRule="auto"/>
              <w:ind w:left="102"/>
              <w:jc w:val="center"/>
              <w:rPr>
                <w:rFonts w:ascii="宋体" w:hAnsi="宋体" w:eastAsia="宋体" w:cs="宋体"/>
                <w:spacing w:val="11"/>
                <w:sz w:val="20"/>
                <w:szCs w:val="20"/>
              </w:rPr>
            </w:pPr>
          </w:p>
          <w:p w14:paraId="53CCD802">
            <w:pPr>
              <w:pStyle w:val="5"/>
              <w:spacing w:before="53" w:line="219" w:lineRule="auto"/>
              <w:ind w:left="102"/>
              <w:jc w:val="center"/>
              <w:rPr>
                <w:rFonts w:ascii="宋体" w:hAnsi="宋体" w:eastAsia="宋体" w:cs="宋体"/>
                <w:spacing w:val="11"/>
                <w:sz w:val="20"/>
                <w:szCs w:val="20"/>
              </w:rPr>
            </w:pPr>
            <w:r>
              <w:rPr>
                <w:rFonts w:ascii="宋体" w:hAnsi="宋体" w:eastAsia="宋体" w:cs="宋体"/>
                <w:spacing w:val="11"/>
                <w:sz w:val="20"/>
                <w:szCs w:val="20"/>
              </w:rPr>
              <w:t>2</w:t>
            </w:r>
          </w:p>
        </w:tc>
        <w:tc>
          <w:tcPr>
            <w:tcW w:w="2837" w:type="dxa"/>
            <w:vAlign w:val="center"/>
          </w:tcPr>
          <w:p w14:paraId="0BE203E6">
            <w:pPr>
              <w:pStyle w:val="5"/>
              <w:spacing w:before="53" w:line="219" w:lineRule="auto"/>
              <w:jc w:val="left"/>
              <w:rPr>
                <w:rFonts w:ascii="宋体" w:hAnsi="宋体" w:eastAsia="宋体" w:cs="宋体"/>
                <w:spacing w:val="11"/>
                <w:sz w:val="20"/>
                <w:szCs w:val="20"/>
              </w:rPr>
            </w:pPr>
            <w:r>
              <w:rPr>
                <w:rFonts w:ascii="宋体" w:hAnsi="宋体" w:eastAsia="宋体" w:cs="宋体"/>
                <w:spacing w:val="11"/>
                <w:sz w:val="20"/>
                <w:szCs w:val="20"/>
              </w:rPr>
              <w:t>对管理人员加强安全管理，购 买人身保险，接受甲方或第三 方专业岗前培训合格后方可上 岗，定期开展安全教育培训， 提高安全生产意识，严禁一切危害破坏水利工程安全的行为。</w:t>
            </w:r>
          </w:p>
        </w:tc>
        <w:tc>
          <w:tcPr>
            <w:tcW w:w="2858" w:type="dxa"/>
            <w:vAlign w:val="center"/>
          </w:tcPr>
          <w:p w14:paraId="539A3756">
            <w:pPr>
              <w:pStyle w:val="5"/>
              <w:spacing w:before="53" w:line="219" w:lineRule="auto"/>
              <w:jc w:val="left"/>
              <w:rPr>
                <w:rFonts w:ascii="宋体" w:hAnsi="宋体" w:eastAsia="宋体" w:cs="宋体"/>
                <w:spacing w:val="11"/>
                <w:sz w:val="20"/>
                <w:szCs w:val="20"/>
              </w:rPr>
            </w:pPr>
            <w:r>
              <w:rPr>
                <w:rFonts w:ascii="宋体" w:hAnsi="宋体" w:eastAsia="宋体" w:cs="宋体"/>
                <w:spacing w:val="11"/>
                <w:sz w:val="20"/>
                <w:szCs w:val="20"/>
              </w:rPr>
              <w:t>未定期组织安全教育培训的，发生一次扣2分；发生安全事故，造成设备损坏 的，此项不得分。</w:t>
            </w:r>
          </w:p>
        </w:tc>
        <w:tc>
          <w:tcPr>
            <w:tcW w:w="889" w:type="dxa"/>
            <w:vAlign w:val="top"/>
          </w:tcPr>
          <w:p w14:paraId="34B440C5">
            <w:pPr>
              <w:spacing w:line="316" w:lineRule="auto"/>
              <w:jc w:val="left"/>
              <w:rPr>
                <w:rFonts w:ascii="Arial"/>
                <w:sz w:val="21"/>
              </w:rPr>
            </w:pPr>
          </w:p>
          <w:p w14:paraId="436CE60C">
            <w:pPr>
              <w:spacing w:line="316" w:lineRule="auto"/>
              <w:jc w:val="left"/>
              <w:rPr>
                <w:rFonts w:ascii="Arial"/>
                <w:sz w:val="21"/>
              </w:rPr>
            </w:pPr>
          </w:p>
          <w:p w14:paraId="33303D81">
            <w:pPr>
              <w:spacing w:line="316" w:lineRule="auto"/>
              <w:jc w:val="left"/>
              <w:rPr>
                <w:rFonts w:ascii="Arial"/>
                <w:sz w:val="21"/>
              </w:rPr>
            </w:pPr>
          </w:p>
          <w:p w14:paraId="104ED36E">
            <w:pPr>
              <w:pStyle w:val="5"/>
              <w:spacing w:before="68"/>
              <w:ind w:left="445"/>
              <w:jc w:val="left"/>
            </w:pPr>
            <w:r>
              <w:t>8</w:t>
            </w:r>
          </w:p>
        </w:tc>
        <w:tc>
          <w:tcPr>
            <w:tcW w:w="1139" w:type="dxa"/>
            <w:vAlign w:val="top"/>
          </w:tcPr>
          <w:p w14:paraId="1EAA3EDF">
            <w:pPr>
              <w:jc w:val="left"/>
              <w:rPr>
                <w:rFonts w:ascii="Arial"/>
                <w:sz w:val="21"/>
              </w:rPr>
            </w:pPr>
          </w:p>
        </w:tc>
        <w:tc>
          <w:tcPr>
            <w:tcW w:w="2283" w:type="dxa"/>
            <w:vAlign w:val="top"/>
          </w:tcPr>
          <w:p w14:paraId="6A1C4E7A">
            <w:pPr>
              <w:jc w:val="left"/>
              <w:rPr>
                <w:rFonts w:ascii="Arial"/>
                <w:sz w:val="21"/>
              </w:rPr>
            </w:pPr>
          </w:p>
        </w:tc>
      </w:tr>
      <w:tr w14:paraId="2CA2DB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39" w:hRule="atLeast"/>
        </w:trPr>
        <w:tc>
          <w:tcPr>
            <w:tcW w:w="644" w:type="dxa"/>
            <w:vAlign w:val="top"/>
          </w:tcPr>
          <w:p w14:paraId="2F439793">
            <w:pPr>
              <w:pStyle w:val="5"/>
              <w:spacing w:before="53" w:line="219" w:lineRule="auto"/>
              <w:ind w:left="102"/>
              <w:jc w:val="center"/>
              <w:rPr>
                <w:rFonts w:ascii="宋体" w:hAnsi="宋体" w:eastAsia="宋体" w:cs="宋体"/>
                <w:spacing w:val="11"/>
                <w:sz w:val="20"/>
                <w:szCs w:val="20"/>
              </w:rPr>
            </w:pPr>
          </w:p>
          <w:p w14:paraId="0A98BBA8">
            <w:pPr>
              <w:pStyle w:val="5"/>
              <w:spacing w:before="53" w:line="219" w:lineRule="auto"/>
              <w:ind w:left="102"/>
              <w:jc w:val="center"/>
              <w:rPr>
                <w:rFonts w:ascii="宋体" w:hAnsi="宋体" w:eastAsia="宋体" w:cs="宋体"/>
                <w:spacing w:val="11"/>
                <w:sz w:val="20"/>
                <w:szCs w:val="20"/>
              </w:rPr>
            </w:pPr>
            <w:r>
              <w:rPr>
                <w:rFonts w:ascii="宋体" w:hAnsi="宋体" w:eastAsia="宋体" w:cs="宋体"/>
                <w:spacing w:val="11"/>
                <w:sz w:val="20"/>
                <w:szCs w:val="20"/>
              </w:rPr>
              <w:t>3</w:t>
            </w:r>
          </w:p>
        </w:tc>
        <w:tc>
          <w:tcPr>
            <w:tcW w:w="2837" w:type="dxa"/>
            <w:vAlign w:val="center"/>
          </w:tcPr>
          <w:p w14:paraId="1BB61B49">
            <w:pPr>
              <w:pStyle w:val="5"/>
              <w:spacing w:before="53" w:line="219" w:lineRule="auto"/>
              <w:jc w:val="left"/>
              <w:rPr>
                <w:rFonts w:ascii="宋体" w:hAnsi="宋体" w:eastAsia="宋体" w:cs="宋体"/>
                <w:spacing w:val="11"/>
                <w:sz w:val="20"/>
                <w:szCs w:val="20"/>
              </w:rPr>
            </w:pPr>
            <w:r>
              <w:rPr>
                <w:rFonts w:ascii="宋体" w:hAnsi="宋体" w:eastAsia="宋体" w:cs="宋体"/>
                <w:spacing w:val="11"/>
                <w:sz w:val="20"/>
                <w:szCs w:val="20"/>
              </w:rPr>
              <w:t>根据甲方要求，对泵闸站管理 范围及双山洲堤巡查标准做好 巡查工作，做好防汛物资和块 石的巡查并做好记录</w:t>
            </w:r>
          </w:p>
        </w:tc>
        <w:tc>
          <w:tcPr>
            <w:tcW w:w="2858" w:type="dxa"/>
            <w:vAlign w:val="center"/>
          </w:tcPr>
          <w:p w14:paraId="1B1836B2">
            <w:pPr>
              <w:pStyle w:val="5"/>
              <w:spacing w:before="53" w:line="219" w:lineRule="auto"/>
              <w:jc w:val="left"/>
              <w:rPr>
                <w:rFonts w:ascii="宋体" w:hAnsi="宋体" w:eastAsia="宋体" w:cs="宋体"/>
                <w:spacing w:val="11"/>
                <w:sz w:val="20"/>
                <w:szCs w:val="20"/>
              </w:rPr>
            </w:pPr>
            <w:r>
              <w:rPr>
                <w:rFonts w:ascii="宋体" w:hAnsi="宋体" w:eastAsia="宋体" w:cs="宋体"/>
                <w:spacing w:val="11"/>
                <w:sz w:val="20"/>
                <w:szCs w:val="20"/>
              </w:rPr>
              <w:t>检查不到位视情况扣2</w:t>
            </w:r>
            <w:r>
              <w:rPr>
                <w:rFonts w:hint="eastAsia" w:cs="宋体"/>
                <w:spacing w:val="11"/>
                <w:sz w:val="20"/>
                <w:szCs w:val="20"/>
                <w:lang w:eastAsia="zh-CN"/>
              </w:rPr>
              <w:t>—</w:t>
            </w:r>
            <w:r>
              <w:rPr>
                <w:rFonts w:ascii="宋体" w:hAnsi="宋体" w:eastAsia="宋体" w:cs="宋体"/>
                <w:spacing w:val="11"/>
                <w:sz w:val="20"/>
                <w:szCs w:val="20"/>
              </w:rPr>
              <w:t>5分； 记录不齐全每次扣1</w:t>
            </w:r>
            <w:r>
              <w:rPr>
                <w:rFonts w:hint="eastAsia" w:cs="宋体"/>
                <w:spacing w:val="11"/>
                <w:sz w:val="20"/>
                <w:szCs w:val="20"/>
                <w:lang w:eastAsia="zh-CN"/>
              </w:rPr>
              <w:t>—</w:t>
            </w:r>
            <w:r>
              <w:rPr>
                <w:rFonts w:ascii="宋体" w:hAnsi="宋体" w:eastAsia="宋体" w:cs="宋体"/>
                <w:spacing w:val="11"/>
                <w:sz w:val="20"/>
                <w:szCs w:val="20"/>
              </w:rPr>
              <w:t>2分</w:t>
            </w:r>
          </w:p>
        </w:tc>
        <w:tc>
          <w:tcPr>
            <w:tcW w:w="889" w:type="dxa"/>
            <w:vAlign w:val="top"/>
          </w:tcPr>
          <w:p w14:paraId="3DC5A5C5">
            <w:pPr>
              <w:spacing w:line="472" w:lineRule="auto"/>
              <w:jc w:val="left"/>
              <w:rPr>
                <w:rFonts w:ascii="Arial"/>
                <w:sz w:val="21"/>
              </w:rPr>
            </w:pPr>
          </w:p>
          <w:p w14:paraId="33385805">
            <w:pPr>
              <w:pStyle w:val="5"/>
              <w:spacing w:before="69"/>
              <w:ind w:left="395"/>
              <w:jc w:val="left"/>
            </w:pPr>
            <w:r>
              <w:rPr>
                <w:spacing w:val="-6"/>
              </w:rPr>
              <w:t>10</w:t>
            </w:r>
          </w:p>
        </w:tc>
        <w:tc>
          <w:tcPr>
            <w:tcW w:w="1139" w:type="dxa"/>
            <w:vAlign w:val="top"/>
          </w:tcPr>
          <w:p w14:paraId="36CF4B86">
            <w:pPr>
              <w:jc w:val="left"/>
              <w:rPr>
                <w:rFonts w:hint="eastAsia" w:ascii="Arial" w:eastAsia="宋体"/>
                <w:sz w:val="21"/>
                <w:lang w:val="en-US" w:eastAsia="zh-CN"/>
              </w:rPr>
            </w:pPr>
          </w:p>
        </w:tc>
        <w:tc>
          <w:tcPr>
            <w:tcW w:w="2283" w:type="dxa"/>
            <w:vAlign w:val="top"/>
          </w:tcPr>
          <w:p w14:paraId="14559C3E">
            <w:pPr>
              <w:jc w:val="left"/>
              <w:rPr>
                <w:rFonts w:ascii="Arial"/>
                <w:sz w:val="21"/>
              </w:rPr>
            </w:pPr>
          </w:p>
        </w:tc>
      </w:tr>
      <w:tr w14:paraId="4C25DD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83" w:hRule="atLeast"/>
        </w:trPr>
        <w:tc>
          <w:tcPr>
            <w:tcW w:w="644" w:type="dxa"/>
            <w:vAlign w:val="top"/>
          </w:tcPr>
          <w:p w14:paraId="5587E9A6">
            <w:pPr>
              <w:pStyle w:val="5"/>
              <w:spacing w:before="53" w:line="219" w:lineRule="auto"/>
              <w:ind w:left="102"/>
              <w:jc w:val="center"/>
              <w:rPr>
                <w:rFonts w:ascii="宋体" w:hAnsi="宋体" w:eastAsia="宋体" w:cs="宋体"/>
                <w:spacing w:val="11"/>
                <w:sz w:val="20"/>
                <w:szCs w:val="20"/>
              </w:rPr>
            </w:pPr>
          </w:p>
          <w:p w14:paraId="1E31B3F5">
            <w:pPr>
              <w:pStyle w:val="5"/>
              <w:spacing w:before="53" w:line="219" w:lineRule="auto"/>
              <w:ind w:left="102"/>
              <w:jc w:val="center"/>
              <w:rPr>
                <w:rFonts w:ascii="宋体" w:hAnsi="宋体" w:eastAsia="宋体" w:cs="宋体"/>
                <w:spacing w:val="11"/>
                <w:sz w:val="20"/>
                <w:szCs w:val="20"/>
              </w:rPr>
            </w:pPr>
          </w:p>
          <w:p w14:paraId="508E78FA">
            <w:pPr>
              <w:pStyle w:val="5"/>
              <w:spacing w:before="53" w:line="219" w:lineRule="auto"/>
              <w:ind w:left="102"/>
              <w:jc w:val="center"/>
              <w:rPr>
                <w:rFonts w:ascii="宋体" w:hAnsi="宋体" w:eastAsia="宋体" w:cs="宋体"/>
                <w:spacing w:val="11"/>
                <w:sz w:val="20"/>
                <w:szCs w:val="20"/>
              </w:rPr>
            </w:pPr>
          </w:p>
          <w:p w14:paraId="00FABAB2">
            <w:pPr>
              <w:pStyle w:val="5"/>
              <w:spacing w:before="53" w:line="219" w:lineRule="auto"/>
              <w:ind w:left="102"/>
              <w:jc w:val="center"/>
              <w:rPr>
                <w:rFonts w:ascii="宋体" w:hAnsi="宋体" w:eastAsia="宋体" w:cs="宋体"/>
                <w:spacing w:val="11"/>
                <w:sz w:val="20"/>
                <w:szCs w:val="20"/>
              </w:rPr>
            </w:pPr>
          </w:p>
          <w:p w14:paraId="3850BDE9">
            <w:pPr>
              <w:pStyle w:val="5"/>
              <w:spacing w:before="53" w:line="219" w:lineRule="auto"/>
              <w:ind w:left="102"/>
              <w:jc w:val="center"/>
              <w:rPr>
                <w:rFonts w:ascii="宋体" w:hAnsi="宋体" w:eastAsia="宋体" w:cs="宋体"/>
                <w:spacing w:val="11"/>
                <w:sz w:val="20"/>
                <w:szCs w:val="20"/>
              </w:rPr>
            </w:pPr>
          </w:p>
          <w:p w14:paraId="26DF71F4">
            <w:pPr>
              <w:pStyle w:val="5"/>
              <w:spacing w:before="53" w:line="219" w:lineRule="auto"/>
              <w:ind w:left="102"/>
              <w:jc w:val="center"/>
              <w:rPr>
                <w:rFonts w:ascii="宋体" w:hAnsi="宋体" w:eastAsia="宋体" w:cs="宋体"/>
                <w:spacing w:val="11"/>
                <w:sz w:val="20"/>
                <w:szCs w:val="20"/>
              </w:rPr>
            </w:pPr>
            <w:r>
              <w:rPr>
                <w:rFonts w:ascii="宋体" w:hAnsi="宋体" w:eastAsia="宋体" w:cs="宋体"/>
                <w:spacing w:val="11"/>
                <w:sz w:val="20"/>
                <w:szCs w:val="20"/>
              </w:rPr>
              <w:t>4</w:t>
            </w:r>
          </w:p>
        </w:tc>
        <w:tc>
          <w:tcPr>
            <w:tcW w:w="2837" w:type="dxa"/>
            <w:vAlign w:val="center"/>
          </w:tcPr>
          <w:p w14:paraId="0BC61992">
            <w:pPr>
              <w:pStyle w:val="5"/>
              <w:spacing w:before="53" w:line="219" w:lineRule="auto"/>
              <w:jc w:val="left"/>
              <w:rPr>
                <w:rFonts w:ascii="宋体" w:hAnsi="宋体" w:eastAsia="宋体" w:cs="宋体"/>
                <w:spacing w:val="11"/>
                <w:sz w:val="20"/>
                <w:szCs w:val="20"/>
              </w:rPr>
            </w:pPr>
            <w:r>
              <w:rPr>
                <w:rFonts w:ascii="宋体" w:hAnsi="宋体" w:eastAsia="宋体" w:cs="宋体"/>
                <w:spacing w:val="11"/>
                <w:sz w:val="20"/>
                <w:szCs w:val="20"/>
              </w:rPr>
              <w:t>养成良好的卫生习惯，保持工 作场地内外环境整洁、干净。 节约水电，保持生活设施、设备、电器良好状态</w:t>
            </w:r>
          </w:p>
        </w:tc>
        <w:tc>
          <w:tcPr>
            <w:tcW w:w="2858" w:type="dxa"/>
            <w:vAlign w:val="center"/>
          </w:tcPr>
          <w:p w14:paraId="135D0D63">
            <w:pPr>
              <w:pStyle w:val="5"/>
              <w:spacing w:before="53" w:line="219" w:lineRule="auto"/>
              <w:jc w:val="left"/>
              <w:rPr>
                <w:rFonts w:ascii="宋体" w:hAnsi="宋体" w:eastAsia="宋体" w:cs="宋体"/>
                <w:spacing w:val="11"/>
                <w:sz w:val="20"/>
                <w:szCs w:val="20"/>
              </w:rPr>
            </w:pPr>
            <w:r>
              <w:rPr>
                <w:rFonts w:ascii="宋体" w:hAnsi="宋体" w:eastAsia="宋体" w:cs="宋体"/>
                <w:spacing w:val="11"/>
                <w:sz w:val="20"/>
                <w:szCs w:val="20"/>
              </w:rPr>
              <w:t>抽查时，发现各场所不整洁或  有物品乱堆放等现象，不符合要求的，发现一次，扣1</w:t>
            </w:r>
            <w:r>
              <w:rPr>
                <w:rFonts w:hint="eastAsia" w:cs="宋体"/>
                <w:spacing w:val="11"/>
                <w:sz w:val="20"/>
                <w:szCs w:val="20"/>
                <w:lang w:eastAsia="zh-CN"/>
              </w:rPr>
              <w:t>—</w:t>
            </w:r>
            <w:r>
              <w:rPr>
                <w:rFonts w:ascii="宋体" w:hAnsi="宋体" w:eastAsia="宋体" w:cs="宋体"/>
                <w:spacing w:val="11"/>
                <w:sz w:val="20"/>
                <w:szCs w:val="20"/>
              </w:rPr>
              <w:t>2分；未节约水电，发现一次，扣1</w:t>
            </w:r>
            <w:r>
              <w:rPr>
                <w:rFonts w:hint="eastAsia" w:cs="宋体"/>
                <w:spacing w:val="11"/>
                <w:sz w:val="20"/>
                <w:szCs w:val="20"/>
                <w:lang w:eastAsia="zh-CN"/>
              </w:rPr>
              <w:t>—</w:t>
            </w:r>
            <w:r>
              <w:rPr>
                <w:rFonts w:ascii="宋体" w:hAnsi="宋体" w:eastAsia="宋体" w:cs="宋体"/>
                <w:spacing w:val="11"/>
                <w:sz w:val="20"/>
                <w:szCs w:val="20"/>
              </w:rPr>
              <w:t>2分；操作不当，造成生活设施设备 电器损坏的，发现一次，扣2 分；造成损失的由中标人赔偿。</w:t>
            </w:r>
          </w:p>
        </w:tc>
        <w:tc>
          <w:tcPr>
            <w:tcW w:w="889" w:type="dxa"/>
            <w:vAlign w:val="top"/>
          </w:tcPr>
          <w:p w14:paraId="36AA03BD">
            <w:pPr>
              <w:spacing w:line="249" w:lineRule="auto"/>
              <w:jc w:val="left"/>
              <w:rPr>
                <w:rFonts w:ascii="Arial"/>
                <w:sz w:val="21"/>
              </w:rPr>
            </w:pPr>
          </w:p>
          <w:p w14:paraId="7C30BA57">
            <w:pPr>
              <w:spacing w:line="250" w:lineRule="auto"/>
              <w:jc w:val="left"/>
              <w:rPr>
                <w:rFonts w:ascii="Arial"/>
                <w:sz w:val="21"/>
              </w:rPr>
            </w:pPr>
          </w:p>
          <w:p w14:paraId="1579AB34">
            <w:pPr>
              <w:spacing w:line="250" w:lineRule="auto"/>
              <w:jc w:val="left"/>
              <w:rPr>
                <w:rFonts w:ascii="Arial"/>
                <w:sz w:val="21"/>
              </w:rPr>
            </w:pPr>
          </w:p>
          <w:p w14:paraId="65F30C9A">
            <w:pPr>
              <w:spacing w:line="250" w:lineRule="auto"/>
              <w:jc w:val="left"/>
              <w:rPr>
                <w:rFonts w:ascii="Arial"/>
                <w:sz w:val="21"/>
              </w:rPr>
            </w:pPr>
          </w:p>
          <w:p w14:paraId="0D646D56">
            <w:pPr>
              <w:spacing w:line="250" w:lineRule="auto"/>
              <w:jc w:val="left"/>
              <w:rPr>
                <w:rFonts w:ascii="Arial"/>
                <w:sz w:val="21"/>
              </w:rPr>
            </w:pPr>
          </w:p>
          <w:p w14:paraId="41B8A2D2">
            <w:pPr>
              <w:pStyle w:val="5"/>
              <w:spacing w:before="68"/>
              <w:ind w:left="395"/>
              <w:jc w:val="left"/>
            </w:pPr>
            <w:r>
              <w:rPr>
                <w:spacing w:val="-6"/>
              </w:rPr>
              <w:t>10</w:t>
            </w:r>
          </w:p>
        </w:tc>
        <w:tc>
          <w:tcPr>
            <w:tcW w:w="1139" w:type="dxa"/>
            <w:vAlign w:val="center"/>
          </w:tcPr>
          <w:p w14:paraId="2274D2CE">
            <w:pPr>
              <w:pStyle w:val="5"/>
              <w:spacing w:before="68"/>
              <w:jc w:val="left"/>
              <w:rPr>
                <w:rFonts w:hint="default" w:ascii="Arial" w:eastAsia="宋体"/>
                <w:sz w:val="21"/>
                <w:lang w:val="en-US" w:eastAsia="zh-CN"/>
              </w:rPr>
            </w:pPr>
          </w:p>
        </w:tc>
        <w:tc>
          <w:tcPr>
            <w:tcW w:w="2283" w:type="dxa"/>
            <w:vAlign w:val="center"/>
          </w:tcPr>
          <w:p w14:paraId="7FF8BB14">
            <w:pPr>
              <w:jc w:val="left"/>
              <w:rPr>
                <w:rFonts w:hint="default" w:ascii="Arial" w:eastAsia="宋体"/>
                <w:sz w:val="21"/>
                <w:lang w:val="en-US" w:eastAsia="zh-CN"/>
              </w:rPr>
            </w:pPr>
          </w:p>
        </w:tc>
      </w:tr>
      <w:tr w14:paraId="3C492B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14" w:hRule="atLeast"/>
        </w:trPr>
        <w:tc>
          <w:tcPr>
            <w:tcW w:w="644" w:type="dxa"/>
            <w:vAlign w:val="top"/>
          </w:tcPr>
          <w:p w14:paraId="46EB0A06">
            <w:pPr>
              <w:pStyle w:val="5"/>
              <w:spacing w:before="53" w:line="219" w:lineRule="auto"/>
              <w:ind w:left="102"/>
              <w:jc w:val="center"/>
              <w:rPr>
                <w:rFonts w:ascii="宋体" w:hAnsi="宋体" w:eastAsia="宋体" w:cs="宋体"/>
                <w:spacing w:val="11"/>
                <w:sz w:val="20"/>
                <w:szCs w:val="20"/>
              </w:rPr>
            </w:pPr>
          </w:p>
          <w:p w14:paraId="1924904B">
            <w:pPr>
              <w:pStyle w:val="5"/>
              <w:spacing w:before="53" w:line="219" w:lineRule="auto"/>
              <w:ind w:left="102"/>
              <w:jc w:val="center"/>
              <w:rPr>
                <w:rFonts w:ascii="宋体" w:hAnsi="宋体" w:eastAsia="宋体" w:cs="宋体"/>
                <w:spacing w:val="11"/>
                <w:sz w:val="20"/>
                <w:szCs w:val="20"/>
              </w:rPr>
            </w:pPr>
          </w:p>
          <w:p w14:paraId="5824DA5C">
            <w:pPr>
              <w:pStyle w:val="5"/>
              <w:spacing w:before="53" w:line="219" w:lineRule="auto"/>
              <w:ind w:left="102"/>
              <w:jc w:val="center"/>
              <w:rPr>
                <w:rFonts w:ascii="宋体" w:hAnsi="宋体" w:eastAsia="宋体" w:cs="宋体"/>
                <w:spacing w:val="11"/>
                <w:sz w:val="20"/>
                <w:szCs w:val="20"/>
              </w:rPr>
            </w:pPr>
            <w:r>
              <w:rPr>
                <w:rFonts w:ascii="宋体" w:hAnsi="宋体" w:eastAsia="宋体" w:cs="宋体"/>
                <w:spacing w:val="11"/>
                <w:sz w:val="20"/>
                <w:szCs w:val="20"/>
              </w:rPr>
              <w:t>5</w:t>
            </w:r>
          </w:p>
        </w:tc>
        <w:tc>
          <w:tcPr>
            <w:tcW w:w="2837" w:type="dxa"/>
            <w:vAlign w:val="center"/>
          </w:tcPr>
          <w:p w14:paraId="11FF8263">
            <w:pPr>
              <w:pStyle w:val="5"/>
              <w:spacing w:before="53" w:line="219" w:lineRule="auto"/>
              <w:jc w:val="left"/>
              <w:rPr>
                <w:rFonts w:ascii="宋体" w:hAnsi="宋体" w:eastAsia="宋体" w:cs="宋体"/>
                <w:spacing w:val="11"/>
                <w:sz w:val="20"/>
                <w:szCs w:val="20"/>
              </w:rPr>
            </w:pPr>
            <w:r>
              <w:rPr>
                <w:rFonts w:ascii="宋体" w:hAnsi="宋体" w:eastAsia="宋体" w:cs="宋体"/>
                <w:spacing w:val="11"/>
                <w:sz w:val="20"/>
                <w:szCs w:val="20"/>
              </w:rPr>
              <w:t>乙方应严格依据市水务局编制 印发的上述闸站年度引排调度 方案执行引排调度，实施过程 中如有变动应及时与甲方保持 沟通</w:t>
            </w:r>
          </w:p>
        </w:tc>
        <w:tc>
          <w:tcPr>
            <w:tcW w:w="2858" w:type="dxa"/>
            <w:vAlign w:val="center"/>
          </w:tcPr>
          <w:p w14:paraId="357C07E0">
            <w:pPr>
              <w:pStyle w:val="5"/>
              <w:spacing w:before="53" w:line="219" w:lineRule="auto"/>
              <w:jc w:val="left"/>
              <w:rPr>
                <w:rFonts w:ascii="宋体" w:hAnsi="宋体" w:eastAsia="宋体" w:cs="宋体"/>
                <w:spacing w:val="11"/>
                <w:sz w:val="20"/>
                <w:szCs w:val="20"/>
              </w:rPr>
            </w:pPr>
            <w:r>
              <w:rPr>
                <w:rFonts w:ascii="宋体" w:hAnsi="宋体" w:eastAsia="宋体" w:cs="宋体"/>
                <w:spacing w:val="11"/>
                <w:sz w:val="20"/>
                <w:szCs w:val="20"/>
              </w:rPr>
              <w:t>未按照甲方调度方案和引排调度指令操作的，发现一次扣3分。</w:t>
            </w:r>
          </w:p>
        </w:tc>
        <w:tc>
          <w:tcPr>
            <w:tcW w:w="889" w:type="dxa"/>
            <w:vAlign w:val="top"/>
          </w:tcPr>
          <w:p w14:paraId="1F036FA3">
            <w:pPr>
              <w:spacing w:line="322" w:lineRule="auto"/>
              <w:jc w:val="left"/>
              <w:rPr>
                <w:rFonts w:ascii="宋体" w:hAnsi="宋体" w:eastAsia="宋体" w:cs="宋体"/>
                <w:snapToGrid w:val="0"/>
                <w:color w:val="000000"/>
                <w:spacing w:val="-2"/>
                <w:kern w:val="0"/>
                <w:sz w:val="21"/>
                <w:szCs w:val="21"/>
                <w:lang w:val="en-US" w:eastAsia="en-US" w:bidi="ar-SA"/>
              </w:rPr>
            </w:pPr>
          </w:p>
          <w:p w14:paraId="3EF53FBC">
            <w:pPr>
              <w:spacing w:line="322" w:lineRule="auto"/>
              <w:jc w:val="left"/>
              <w:rPr>
                <w:rFonts w:ascii="宋体" w:hAnsi="宋体" w:eastAsia="宋体" w:cs="宋体"/>
                <w:snapToGrid w:val="0"/>
                <w:color w:val="000000"/>
                <w:spacing w:val="-2"/>
                <w:kern w:val="0"/>
                <w:sz w:val="21"/>
                <w:szCs w:val="21"/>
                <w:lang w:val="en-US" w:eastAsia="en-US" w:bidi="ar-SA"/>
              </w:rPr>
            </w:pPr>
          </w:p>
          <w:p w14:paraId="600E353B">
            <w:pPr>
              <w:pStyle w:val="5"/>
              <w:spacing w:before="69"/>
              <w:ind w:left="395"/>
              <w:jc w:val="left"/>
              <w:rPr>
                <w:rFonts w:ascii="宋体" w:hAnsi="宋体" w:eastAsia="宋体" w:cs="宋体"/>
                <w:snapToGrid w:val="0"/>
                <w:color w:val="000000"/>
                <w:spacing w:val="-2"/>
                <w:kern w:val="0"/>
                <w:sz w:val="21"/>
                <w:szCs w:val="21"/>
                <w:lang w:val="en-US" w:eastAsia="en-US" w:bidi="ar-SA"/>
              </w:rPr>
            </w:pPr>
            <w:r>
              <w:rPr>
                <w:rFonts w:ascii="宋体" w:hAnsi="宋体" w:eastAsia="宋体" w:cs="宋体"/>
                <w:snapToGrid w:val="0"/>
                <w:color w:val="000000"/>
                <w:spacing w:val="-2"/>
                <w:kern w:val="0"/>
                <w:sz w:val="21"/>
                <w:szCs w:val="21"/>
                <w:lang w:val="en-US" w:eastAsia="en-US" w:bidi="ar-SA"/>
              </w:rPr>
              <w:t>10</w:t>
            </w:r>
          </w:p>
        </w:tc>
        <w:tc>
          <w:tcPr>
            <w:tcW w:w="1139" w:type="dxa"/>
            <w:vAlign w:val="center"/>
          </w:tcPr>
          <w:p w14:paraId="2624F53F">
            <w:pPr>
              <w:jc w:val="left"/>
              <w:rPr>
                <w:rFonts w:hint="eastAsia" w:ascii="宋体" w:hAnsi="宋体" w:eastAsia="宋体" w:cs="宋体"/>
                <w:snapToGrid w:val="0"/>
                <w:color w:val="000000"/>
                <w:spacing w:val="-2"/>
                <w:kern w:val="0"/>
                <w:sz w:val="21"/>
                <w:szCs w:val="21"/>
                <w:lang w:val="en-US" w:eastAsia="zh-CN" w:bidi="ar-SA"/>
              </w:rPr>
            </w:pPr>
          </w:p>
        </w:tc>
        <w:tc>
          <w:tcPr>
            <w:tcW w:w="2283" w:type="dxa"/>
            <w:vAlign w:val="center"/>
          </w:tcPr>
          <w:p w14:paraId="01A6F448">
            <w:pPr>
              <w:jc w:val="left"/>
              <w:rPr>
                <w:rFonts w:hint="default" w:ascii="Arial"/>
                <w:sz w:val="21"/>
                <w:lang w:val="en-US"/>
              </w:rPr>
            </w:pPr>
          </w:p>
        </w:tc>
      </w:tr>
      <w:tr w14:paraId="6F157B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9" w:hRule="atLeast"/>
        </w:trPr>
        <w:tc>
          <w:tcPr>
            <w:tcW w:w="644" w:type="dxa"/>
            <w:vAlign w:val="top"/>
          </w:tcPr>
          <w:p w14:paraId="744B787C">
            <w:pPr>
              <w:pStyle w:val="5"/>
              <w:spacing w:before="53" w:line="219" w:lineRule="auto"/>
              <w:ind w:left="102"/>
              <w:jc w:val="center"/>
              <w:rPr>
                <w:rFonts w:ascii="宋体" w:hAnsi="宋体" w:eastAsia="宋体" w:cs="宋体"/>
                <w:spacing w:val="11"/>
                <w:sz w:val="20"/>
                <w:szCs w:val="20"/>
              </w:rPr>
            </w:pPr>
          </w:p>
          <w:p w14:paraId="2FEF4942">
            <w:pPr>
              <w:pStyle w:val="5"/>
              <w:spacing w:before="53" w:line="219" w:lineRule="auto"/>
              <w:ind w:left="102"/>
              <w:jc w:val="center"/>
              <w:rPr>
                <w:rFonts w:ascii="宋体" w:hAnsi="宋体" w:eastAsia="宋体" w:cs="宋体"/>
                <w:spacing w:val="11"/>
                <w:sz w:val="20"/>
                <w:szCs w:val="20"/>
              </w:rPr>
            </w:pPr>
          </w:p>
          <w:p w14:paraId="5F3CEE25">
            <w:pPr>
              <w:pStyle w:val="5"/>
              <w:spacing w:before="53" w:line="219" w:lineRule="auto"/>
              <w:ind w:left="102"/>
              <w:jc w:val="center"/>
              <w:rPr>
                <w:rFonts w:ascii="宋体" w:hAnsi="宋体" w:eastAsia="宋体" w:cs="宋体"/>
                <w:spacing w:val="11"/>
                <w:sz w:val="20"/>
                <w:szCs w:val="20"/>
              </w:rPr>
            </w:pPr>
            <w:r>
              <w:rPr>
                <w:rFonts w:ascii="宋体" w:hAnsi="宋体" w:eastAsia="宋体" w:cs="宋体"/>
                <w:spacing w:val="11"/>
                <w:sz w:val="20"/>
                <w:szCs w:val="20"/>
              </w:rPr>
              <w:t>6</w:t>
            </w:r>
          </w:p>
        </w:tc>
        <w:tc>
          <w:tcPr>
            <w:tcW w:w="2837" w:type="dxa"/>
            <w:vAlign w:val="center"/>
          </w:tcPr>
          <w:p w14:paraId="7FC362EA">
            <w:pPr>
              <w:pStyle w:val="5"/>
              <w:spacing w:before="53" w:line="219" w:lineRule="auto"/>
              <w:jc w:val="left"/>
              <w:rPr>
                <w:rFonts w:ascii="宋体" w:hAnsi="宋体" w:eastAsia="宋体" w:cs="宋体"/>
                <w:spacing w:val="11"/>
                <w:sz w:val="20"/>
                <w:szCs w:val="20"/>
              </w:rPr>
            </w:pPr>
            <w:r>
              <w:rPr>
                <w:rFonts w:ascii="宋体" w:hAnsi="宋体" w:eastAsia="宋体" w:cs="宋体"/>
                <w:spacing w:val="11"/>
                <w:sz w:val="20"/>
                <w:szCs w:val="20"/>
              </w:rPr>
              <w:t>对所使用的房屋加强管理，管理用房仅能用于工作人员办公、生活等，不得擅自改装或 用于其他用途。</w:t>
            </w:r>
          </w:p>
        </w:tc>
        <w:tc>
          <w:tcPr>
            <w:tcW w:w="2858" w:type="dxa"/>
            <w:vAlign w:val="center"/>
          </w:tcPr>
          <w:p w14:paraId="176A7647">
            <w:pPr>
              <w:pStyle w:val="5"/>
              <w:spacing w:before="53" w:line="219" w:lineRule="auto"/>
              <w:jc w:val="left"/>
              <w:rPr>
                <w:rFonts w:ascii="宋体" w:hAnsi="宋体" w:eastAsia="宋体" w:cs="宋体"/>
                <w:spacing w:val="11"/>
                <w:sz w:val="20"/>
                <w:szCs w:val="20"/>
              </w:rPr>
            </w:pPr>
            <w:r>
              <w:rPr>
                <w:rFonts w:ascii="宋体" w:hAnsi="宋体" w:eastAsia="宋体" w:cs="宋体"/>
                <w:spacing w:val="11"/>
                <w:sz w:val="20"/>
                <w:szCs w:val="20"/>
              </w:rPr>
              <w:t>存在此类情况的，本项不得 分。</w:t>
            </w:r>
          </w:p>
        </w:tc>
        <w:tc>
          <w:tcPr>
            <w:tcW w:w="889" w:type="dxa"/>
            <w:vAlign w:val="top"/>
          </w:tcPr>
          <w:p w14:paraId="7315878F">
            <w:pPr>
              <w:spacing w:line="243" w:lineRule="auto"/>
              <w:jc w:val="left"/>
              <w:rPr>
                <w:rFonts w:ascii="Arial"/>
                <w:sz w:val="21"/>
              </w:rPr>
            </w:pPr>
          </w:p>
          <w:p w14:paraId="5BF49DC1">
            <w:pPr>
              <w:spacing w:line="243" w:lineRule="auto"/>
              <w:jc w:val="left"/>
              <w:rPr>
                <w:rFonts w:ascii="Arial"/>
                <w:sz w:val="21"/>
              </w:rPr>
            </w:pPr>
          </w:p>
          <w:p w14:paraId="1B349BD5">
            <w:pPr>
              <w:pStyle w:val="5"/>
              <w:spacing w:before="69"/>
              <w:ind w:left="445"/>
              <w:jc w:val="left"/>
            </w:pPr>
            <w:r>
              <w:t>5</w:t>
            </w:r>
          </w:p>
        </w:tc>
        <w:tc>
          <w:tcPr>
            <w:tcW w:w="1139" w:type="dxa"/>
            <w:vAlign w:val="top"/>
          </w:tcPr>
          <w:p w14:paraId="13A0C6A3">
            <w:pPr>
              <w:jc w:val="left"/>
              <w:rPr>
                <w:rFonts w:ascii="Arial"/>
                <w:sz w:val="21"/>
              </w:rPr>
            </w:pPr>
          </w:p>
        </w:tc>
        <w:tc>
          <w:tcPr>
            <w:tcW w:w="2283" w:type="dxa"/>
            <w:vAlign w:val="top"/>
          </w:tcPr>
          <w:p w14:paraId="6F627030">
            <w:pPr>
              <w:jc w:val="left"/>
              <w:rPr>
                <w:rFonts w:ascii="Arial"/>
                <w:sz w:val="21"/>
              </w:rPr>
            </w:pPr>
          </w:p>
        </w:tc>
      </w:tr>
      <w:tr w14:paraId="77B99F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4" w:hRule="atLeast"/>
        </w:trPr>
        <w:tc>
          <w:tcPr>
            <w:tcW w:w="644" w:type="dxa"/>
            <w:vAlign w:val="top"/>
          </w:tcPr>
          <w:p w14:paraId="6954A119">
            <w:pPr>
              <w:pStyle w:val="5"/>
              <w:spacing w:before="53" w:line="219" w:lineRule="auto"/>
              <w:ind w:left="102"/>
              <w:jc w:val="center"/>
              <w:rPr>
                <w:rFonts w:ascii="宋体" w:hAnsi="宋体" w:eastAsia="宋体" w:cs="宋体"/>
                <w:spacing w:val="11"/>
                <w:sz w:val="20"/>
                <w:szCs w:val="20"/>
              </w:rPr>
            </w:pPr>
          </w:p>
          <w:p w14:paraId="7FF5E797">
            <w:pPr>
              <w:pStyle w:val="5"/>
              <w:spacing w:before="53" w:line="219" w:lineRule="auto"/>
              <w:ind w:left="102"/>
              <w:jc w:val="center"/>
              <w:rPr>
                <w:rFonts w:ascii="宋体" w:hAnsi="宋体" w:eastAsia="宋体" w:cs="宋体"/>
                <w:spacing w:val="11"/>
                <w:sz w:val="20"/>
                <w:szCs w:val="20"/>
              </w:rPr>
            </w:pPr>
            <w:r>
              <w:rPr>
                <w:rFonts w:ascii="宋体" w:hAnsi="宋体" w:eastAsia="宋体" w:cs="宋体"/>
                <w:spacing w:val="11"/>
                <w:sz w:val="20"/>
                <w:szCs w:val="20"/>
              </w:rPr>
              <w:t>7</w:t>
            </w:r>
          </w:p>
        </w:tc>
        <w:tc>
          <w:tcPr>
            <w:tcW w:w="2837" w:type="dxa"/>
            <w:vAlign w:val="center"/>
          </w:tcPr>
          <w:p w14:paraId="2BCD9D9F">
            <w:pPr>
              <w:pStyle w:val="5"/>
              <w:spacing w:before="53" w:line="219" w:lineRule="auto"/>
              <w:jc w:val="left"/>
              <w:rPr>
                <w:rFonts w:ascii="宋体" w:hAnsi="宋体" w:eastAsia="宋体" w:cs="宋体"/>
                <w:spacing w:val="11"/>
                <w:sz w:val="20"/>
                <w:szCs w:val="20"/>
              </w:rPr>
            </w:pPr>
            <w:r>
              <w:rPr>
                <w:rFonts w:ascii="宋体" w:hAnsi="宋体" w:eastAsia="宋体" w:cs="宋体"/>
                <w:spacing w:val="11"/>
                <w:sz w:val="20"/>
                <w:szCs w:val="20"/>
              </w:rPr>
              <w:t>配合甲方创建精细化管理工程等各类创建工作。</w:t>
            </w:r>
          </w:p>
        </w:tc>
        <w:tc>
          <w:tcPr>
            <w:tcW w:w="2858" w:type="dxa"/>
            <w:vAlign w:val="center"/>
          </w:tcPr>
          <w:p w14:paraId="078E68AF">
            <w:pPr>
              <w:pStyle w:val="5"/>
              <w:spacing w:before="53" w:line="219" w:lineRule="auto"/>
              <w:jc w:val="left"/>
              <w:rPr>
                <w:rFonts w:ascii="宋体" w:hAnsi="宋体" w:eastAsia="宋体" w:cs="宋体"/>
                <w:spacing w:val="11"/>
                <w:sz w:val="20"/>
                <w:szCs w:val="20"/>
              </w:rPr>
            </w:pPr>
            <w:r>
              <w:rPr>
                <w:rFonts w:ascii="宋体" w:hAnsi="宋体" w:eastAsia="宋体" w:cs="宋体"/>
                <w:spacing w:val="11"/>
                <w:sz w:val="20"/>
                <w:szCs w:val="20"/>
              </w:rPr>
              <w:t>为配合开展精细化创建工作的，视情况扣2</w:t>
            </w:r>
            <w:r>
              <w:rPr>
                <w:rFonts w:hint="eastAsia" w:cs="宋体"/>
                <w:spacing w:val="11"/>
                <w:sz w:val="20"/>
                <w:szCs w:val="20"/>
                <w:lang w:eastAsia="zh-CN"/>
              </w:rPr>
              <w:t>—</w:t>
            </w:r>
            <w:r>
              <w:rPr>
                <w:rFonts w:ascii="宋体" w:hAnsi="宋体" w:eastAsia="宋体" w:cs="宋体"/>
                <w:spacing w:val="11"/>
                <w:sz w:val="20"/>
                <w:szCs w:val="20"/>
              </w:rPr>
              <w:t>5分。</w:t>
            </w:r>
          </w:p>
        </w:tc>
        <w:tc>
          <w:tcPr>
            <w:tcW w:w="889" w:type="dxa"/>
            <w:vAlign w:val="top"/>
          </w:tcPr>
          <w:p w14:paraId="6677B218">
            <w:pPr>
              <w:spacing w:line="338" w:lineRule="auto"/>
              <w:jc w:val="left"/>
              <w:rPr>
                <w:rFonts w:ascii="Arial"/>
                <w:sz w:val="21"/>
              </w:rPr>
            </w:pPr>
          </w:p>
          <w:p w14:paraId="59041CD9">
            <w:pPr>
              <w:pStyle w:val="5"/>
              <w:spacing w:before="68"/>
              <w:ind w:left="445"/>
              <w:jc w:val="left"/>
            </w:pPr>
            <w:r>
              <w:t>5</w:t>
            </w:r>
          </w:p>
        </w:tc>
        <w:tc>
          <w:tcPr>
            <w:tcW w:w="1139" w:type="dxa"/>
            <w:vAlign w:val="top"/>
          </w:tcPr>
          <w:p w14:paraId="6FDD48C3">
            <w:pPr>
              <w:jc w:val="left"/>
              <w:rPr>
                <w:rFonts w:ascii="Arial"/>
                <w:sz w:val="21"/>
              </w:rPr>
            </w:pPr>
          </w:p>
        </w:tc>
        <w:tc>
          <w:tcPr>
            <w:tcW w:w="2283" w:type="dxa"/>
            <w:vAlign w:val="top"/>
          </w:tcPr>
          <w:p w14:paraId="3BDFB28C">
            <w:pPr>
              <w:jc w:val="left"/>
              <w:rPr>
                <w:rFonts w:ascii="Arial"/>
                <w:sz w:val="21"/>
              </w:rPr>
            </w:pPr>
          </w:p>
        </w:tc>
      </w:tr>
    </w:tbl>
    <w:p w14:paraId="0560770C">
      <w:pPr>
        <w:jc w:val="left"/>
        <w:rPr>
          <w:rFonts w:ascii="Arial" w:hAnsi="Arial" w:eastAsia="Arial" w:cs="Arial"/>
          <w:sz w:val="21"/>
          <w:szCs w:val="21"/>
        </w:rPr>
        <w:sectPr>
          <w:headerReference r:id="rId3" w:type="default"/>
          <w:footerReference r:id="rId4" w:type="default"/>
          <w:pgSz w:w="11900" w:h="16820"/>
          <w:pgMar w:top="1440" w:right="1800" w:bottom="1440" w:left="1800" w:header="0" w:footer="1067" w:gutter="0"/>
          <w:pgNumType w:fmt="decimal"/>
          <w:cols w:space="720" w:num="1"/>
        </w:sectPr>
      </w:pPr>
    </w:p>
    <w:tbl>
      <w:tblPr>
        <w:tblStyle w:val="6"/>
        <w:tblpPr w:leftFromText="180" w:rightFromText="180" w:vertAnchor="text" w:horzAnchor="page" w:tblpX="809" w:tblpY="227"/>
        <w:tblOverlap w:val="never"/>
        <w:tblW w:w="1064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44"/>
        <w:gridCol w:w="2828"/>
        <w:gridCol w:w="2757"/>
        <w:gridCol w:w="1009"/>
        <w:gridCol w:w="1119"/>
        <w:gridCol w:w="2283"/>
      </w:tblGrid>
      <w:tr w14:paraId="3AF346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trPr>
        <w:tc>
          <w:tcPr>
            <w:tcW w:w="644" w:type="dxa"/>
            <w:vAlign w:val="top"/>
          </w:tcPr>
          <w:p w14:paraId="74BDBF94">
            <w:pPr>
              <w:spacing w:line="325" w:lineRule="auto"/>
              <w:jc w:val="left"/>
              <w:rPr>
                <w:rFonts w:ascii="Arial"/>
                <w:sz w:val="21"/>
              </w:rPr>
            </w:pPr>
          </w:p>
          <w:p w14:paraId="1D5C9FBD">
            <w:pPr>
              <w:pStyle w:val="5"/>
              <w:spacing w:before="65"/>
              <w:ind w:left="265"/>
              <w:jc w:val="left"/>
              <w:rPr>
                <w:sz w:val="20"/>
                <w:szCs w:val="20"/>
              </w:rPr>
            </w:pPr>
            <w:r>
              <w:rPr>
                <w:sz w:val="20"/>
                <w:szCs w:val="20"/>
              </w:rPr>
              <w:t>8</w:t>
            </w:r>
          </w:p>
        </w:tc>
        <w:tc>
          <w:tcPr>
            <w:tcW w:w="2828" w:type="dxa"/>
            <w:vAlign w:val="center"/>
          </w:tcPr>
          <w:p w14:paraId="597FCA5D">
            <w:pPr>
              <w:pStyle w:val="5"/>
              <w:spacing w:before="211" w:line="298" w:lineRule="auto"/>
              <w:ind w:right="124"/>
              <w:jc w:val="left"/>
              <w:rPr>
                <w:sz w:val="20"/>
                <w:szCs w:val="20"/>
              </w:rPr>
            </w:pPr>
            <w:r>
              <w:rPr>
                <w:spacing w:val="-1"/>
                <w:sz w:val="20"/>
                <w:szCs w:val="20"/>
              </w:rPr>
              <w:t>认真记录每日运行情况，各式</w:t>
            </w:r>
            <w:r>
              <w:rPr>
                <w:spacing w:val="4"/>
                <w:sz w:val="20"/>
                <w:szCs w:val="20"/>
              </w:rPr>
              <w:t xml:space="preserve"> </w:t>
            </w:r>
            <w:r>
              <w:rPr>
                <w:spacing w:val="-1"/>
                <w:sz w:val="20"/>
                <w:szCs w:val="20"/>
              </w:rPr>
              <w:t>运行记录</w:t>
            </w:r>
            <w:r>
              <w:rPr>
                <w:rFonts w:hint="eastAsia"/>
                <w:spacing w:val="-1"/>
                <w:sz w:val="20"/>
                <w:szCs w:val="20"/>
                <w:lang w:eastAsia="zh-CN"/>
              </w:rPr>
              <w:t>台账</w:t>
            </w:r>
            <w:r>
              <w:rPr>
                <w:spacing w:val="-1"/>
                <w:sz w:val="20"/>
                <w:szCs w:val="20"/>
              </w:rPr>
              <w:t>规范齐全。</w:t>
            </w:r>
          </w:p>
        </w:tc>
        <w:tc>
          <w:tcPr>
            <w:tcW w:w="2757" w:type="dxa"/>
            <w:vAlign w:val="center"/>
          </w:tcPr>
          <w:p w14:paraId="5A37363A">
            <w:pPr>
              <w:pStyle w:val="5"/>
              <w:spacing w:before="53" w:line="219" w:lineRule="auto"/>
              <w:jc w:val="left"/>
              <w:rPr>
                <w:sz w:val="20"/>
                <w:szCs w:val="20"/>
              </w:rPr>
            </w:pPr>
            <w:r>
              <w:rPr>
                <w:spacing w:val="11"/>
                <w:sz w:val="20"/>
                <w:szCs w:val="20"/>
              </w:rPr>
              <w:t>无记录每次扣2分；</w:t>
            </w:r>
            <w:r>
              <w:rPr>
                <w:spacing w:val="1"/>
                <w:sz w:val="20"/>
                <w:szCs w:val="20"/>
              </w:rPr>
              <w:t>记录不规范、不齐全每次扣</w:t>
            </w:r>
            <w:r>
              <w:rPr>
                <w:sz w:val="20"/>
                <w:szCs w:val="20"/>
              </w:rPr>
              <w:t>1</w:t>
            </w:r>
            <w:r>
              <w:rPr>
                <w:rFonts w:hint="eastAsia"/>
                <w:sz w:val="20"/>
                <w:szCs w:val="20"/>
                <w:lang w:eastAsia="zh-CN"/>
              </w:rPr>
              <w:t>—</w:t>
            </w:r>
            <w:r>
              <w:rPr>
                <w:sz w:val="20"/>
                <w:szCs w:val="20"/>
              </w:rPr>
              <w:t>2分。</w:t>
            </w:r>
          </w:p>
        </w:tc>
        <w:tc>
          <w:tcPr>
            <w:tcW w:w="1009" w:type="dxa"/>
            <w:vAlign w:val="top"/>
          </w:tcPr>
          <w:p w14:paraId="347D3047">
            <w:pPr>
              <w:spacing w:line="325" w:lineRule="auto"/>
              <w:jc w:val="left"/>
              <w:rPr>
                <w:rFonts w:ascii="Arial"/>
                <w:sz w:val="21"/>
              </w:rPr>
            </w:pPr>
          </w:p>
          <w:p w14:paraId="24290666">
            <w:pPr>
              <w:pStyle w:val="5"/>
              <w:spacing w:before="65"/>
              <w:ind w:left="395"/>
              <w:jc w:val="left"/>
              <w:rPr>
                <w:sz w:val="20"/>
                <w:szCs w:val="20"/>
              </w:rPr>
            </w:pPr>
            <w:r>
              <w:rPr>
                <w:spacing w:val="-6"/>
                <w:sz w:val="20"/>
                <w:szCs w:val="20"/>
              </w:rPr>
              <w:t>10</w:t>
            </w:r>
          </w:p>
        </w:tc>
        <w:tc>
          <w:tcPr>
            <w:tcW w:w="1119" w:type="dxa"/>
            <w:vAlign w:val="top"/>
          </w:tcPr>
          <w:p w14:paraId="517C4728">
            <w:pPr>
              <w:jc w:val="left"/>
              <w:rPr>
                <w:rFonts w:ascii="Arial"/>
                <w:sz w:val="21"/>
              </w:rPr>
            </w:pPr>
          </w:p>
        </w:tc>
        <w:tc>
          <w:tcPr>
            <w:tcW w:w="2283" w:type="dxa"/>
            <w:vAlign w:val="top"/>
          </w:tcPr>
          <w:p w14:paraId="150BFD22">
            <w:pPr>
              <w:jc w:val="left"/>
              <w:rPr>
                <w:rFonts w:ascii="Arial"/>
                <w:sz w:val="21"/>
              </w:rPr>
            </w:pPr>
          </w:p>
        </w:tc>
      </w:tr>
      <w:tr w14:paraId="3A9D80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3" w:hRule="atLeast"/>
        </w:trPr>
        <w:tc>
          <w:tcPr>
            <w:tcW w:w="644" w:type="dxa"/>
            <w:vAlign w:val="top"/>
          </w:tcPr>
          <w:p w14:paraId="67BB9F92">
            <w:pPr>
              <w:jc w:val="left"/>
              <w:rPr>
                <w:rFonts w:ascii="Arial"/>
                <w:sz w:val="21"/>
              </w:rPr>
            </w:pPr>
          </w:p>
          <w:p w14:paraId="290A4673">
            <w:pPr>
              <w:jc w:val="left"/>
              <w:rPr>
                <w:rFonts w:ascii="Arial"/>
                <w:sz w:val="21"/>
              </w:rPr>
            </w:pPr>
          </w:p>
          <w:p w14:paraId="0C44F390">
            <w:pPr>
              <w:pStyle w:val="5"/>
              <w:spacing w:before="65"/>
              <w:ind w:left="265"/>
              <w:jc w:val="left"/>
              <w:rPr>
                <w:sz w:val="20"/>
                <w:szCs w:val="20"/>
              </w:rPr>
            </w:pPr>
            <w:r>
              <w:rPr>
                <w:sz w:val="20"/>
                <w:szCs w:val="20"/>
              </w:rPr>
              <w:t>9</w:t>
            </w:r>
          </w:p>
        </w:tc>
        <w:tc>
          <w:tcPr>
            <w:tcW w:w="2828" w:type="dxa"/>
            <w:vAlign w:val="center"/>
          </w:tcPr>
          <w:p w14:paraId="3632E474">
            <w:pPr>
              <w:pStyle w:val="5"/>
              <w:spacing w:before="65" w:line="288" w:lineRule="auto"/>
              <w:ind w:right="126"/>
              <w:jc w:val="left"/>
              <w:rPr>
                <w:sz w:val="20"/>
                <w:szCs w:val="20"/>
              </w:rPr>
            </w:pPr>
            <w:r>
              <w:rPr>
                <w:spacing w:val="-1"/>
                <w:sz w:val="20"/>
                <w:szCs w:val="20"/>
              </w:rPr>
              <w:t>上岗职工须参加岗位培训，每</w:t>
            </w:r>
            <w:r>
              <w:rPr>
                <w:spacing w:val="2"/>
                <w:sz w:val="20"/>
                <w:szCs w:val="20"/>
              </w:rPr>
              <w:t xml:space="preserve"> </w:t>
            </w:r>
            <w:r>
              <w:rPr>
                <w:sz w:val="20"/>
                <w:szCs w:val="20"/>
              </w:rPr>
              <w:t>季度需培训一次以上。</w:t>
            </w:r>
          </w:p>
        </w:tc>
        <w:tc>
          <w:tcPr>
            <w:tcW w:w="2757" w:type="dxa"/>
            <w:vAlign w:val="center"/>
          </w:tcPr>
          <w:p w14:paraId="29B28ED0">
            <w:pPr>
              <w:pStyle w:val="5"/>
              <w:spacing w:before="59" w:line="289" w:lineRule="auto"/>
              <w:ind w:right="16"/>
              <w:jc w:val="left"/>
              <w:rPr>
                <w:sz w:val="20"/>
                <w:szCs w:val="20"/>
              </w:rPr>
            </w:pPr>
            <w:r>
              <w:rPr>
                <w:spacing w:val="1"/>
                <w:sz w:val="20"/>
                <w:szCs w:val="20"/>
              </w:rPr>
              <w:t>新上岗职工未培训的，每次扣</w:t>
            </w:r>
            <w:r>
              <w:rPr>
                <w:spacing w:val="3"/>
                <w:sz w:val="20"/>
                <w:szCs w:val="20"/>
              </w:rPr>
              <w:t xml:space="preserve"> </w:t>
            </w:r>
            <w:r>
              <w:rPr>
                <w:spacing w:val="-6"/>
                <w:sz w:val="20"/>
                <w:szCs w:val="20"/>
              </w:rPr>
              <w:t>4分</w:t>
            </w:r>
            <w:r>
              <w:rPr>
                <w:spacing w:val="-24"/>
                <w:sz w:val="20"/>
                <w:szCs w:val="20"/>
              </w:rPr>
              <w:t xml:space="preserve"> </w:t>
            </w:r>
            <w:r>
              <w:rPr>
                <w:spacing w:val="-6"/>
                <w:sz w:val="20"/>
                <w:szCs w:val="20"/>
              </w:rPr>
              <w:t>；</w:t>
            </w:r>
            <w:r>
              <w:rPr>
                <w:spacing w:val="-1"/>
                <w:sz w:val="20"/>
                <w:szCs w:val="20"/>
              </w:rPr>
              <w:t>培训人员不到位、未有培训记</w:t>
            </w:r>
            <w:r>
              <w:rPr>
                <w:sz w:val="20"/>
                <w:szCs w:val="20"/>
              </w:rPr>
              <w:t>录的，每次扣2分。</w:t>
            </w:r>
          </w:p>
        </w:tc>
        <w:tc>
          <w:tcPr>
            <w:tcW w:w="1009" w:type="dxa"/>
            <w:vAlign w:val="top"/>
          </w:tcPr>
          <w:p w14:paraId="5AF0B923">
            <w:pPr>
              <w:jc w:val="left"/>
              <w:rPr>
                <w:rFonts w:ascii="Arial"/>
                <w:sz w:val="21"/>
              </w:rPr>
            </w:pPr>
          </w:p>
          <w:p w14:paraId="178BA761">
            <w:pPr>
              <w:jc w:val="left"/>
              <w:rPr>
                <w:rFonts w:ascii="Arial"/>
                <w:sz w:val="21"/>
              </w:rPr>
            </w:pPr>
          </w:p>
          <w:p w14:paraId="04AFE336">
            <w:pPr>
              <w:pStyle w:val="5"/>
              <w:spacing w:before="65"/>
              <w:ind w:left="445"/>
              <w:jc w:val="left"/>
              <w:rPr>
                <w:sz w:val="20"/>
                <w:szCs w:val="20"/>
              </w:rPr>
            </w:pPr>
            <w:r>
              <w:rPr>
                <w:sz w:val="20"/>
                <w:szCs w:val="20"/>
              </w:rPr>
              <w:t>6</w:t>
            </w:r>
          </w:p>
        </w:tc>
        <w:tc>
          <w:tcPr>
            <w:tcW w:w="1119" w:type="dxa"/>
            <w:vAlign w:val="top"/>
          </w:tcPr>
          <w:p w14:paraId="6E8209D5">
            <w:pPr>
              <w:jc w:val="left"/>
              <w:rPr>
                <w:rFonts w:ascii="Arial"/>
                <w:sz w:val="21"/>
              </w:rPr>
            </w:pPr>
          </w:p>
        </w:tc>
        <w:tc>
          <w:tcPr>
            <w:tcW w:w="2283" w:type="dxa"/>
            <w:vAlign w:val="top"/>
          </w:tcPr>
          <w:p w14:paraId="0274CF0F">
            <w:pPr>
              <w:jc w:val="left"/>
              <w:rPr>
                <w:rFonts w:ascii="Arial"/>
                <w:sz w:val="21"/>
              </w:rPr>
            </w:pPr>
          </w:p>
        </w:tc>
      </w:tr>
      <w:tr w14:paraId="13456F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87" w:hRule="atLeast"/>
        </w:trPr>
        <w:tc>
          <w:tcPr>
            <w:tcW w:w="644" w:type="dxa"/>
            <w:vAlign w:val="top"/>
          </w:tcPr>
          <w:p w14:paraId="0E622103">
            <w:pPr>
              <w:spacing w:line="263" w:lineRule="auto"/>
              <w:jc w:val="left"/>
              <w:rPr>
                <w:rFonts w:ascii="Arial"/>
                <w:sz w:val="21"/>
              </w:rPr>
            </w:pPr>
          </w:p>
          <w:p w14:paraId="65112623">
            <w:pPr>
              <w:spacing w:line="263" w:lineRule="auto"/>
              <w:jc w:val="left"/>
              <w:rPr>
                <w:rFonts w:ascii="Arial"/>
                <w:sz w:val="21"/>
              </w:rPr>
            </w:pPr>
          </w:p>
          <w:p w14:paraId="4F78E49C">
            <w:pPr>
              <w:spacing w:line="264" w:lineRule="auto"/>
              <w:jc w:val="left"/>
              <w:rPr>
                <w:rFonts w:ascii="Arial"/>
                <w:sz w:val="21"/>
              </w:rPr>
            </w:pPr>
          </w:p>
          <w:p w14:paraId="13FEB6A9">
            <w:pPr>
              <w:pStyle w:val="5"/>
              <w:spacing w:before="65"/>
              <w:ind w:left="215"/>
              <w:jc w:val="left"/>
              <w:rPr>
                <w:sz w:val="20"/>
                <w:szCs w:val="20"/>
              </w:rPr>
            </w:pPr>
            <w:r>
              <w:rPr>
                <w:spacing w:val="-6"/>
                <w:sz w:val="20"/>
                <w:szCs w:val="20"/>
              </w:rPr>
              <w:t>10</w:t>
            </w:r>
          </w:p>
        </w:tc>
        <w:tc>
          <w:tcPr>
            <w:tcW w:w="2828" w:type="dxa"/>
            <w:vAlign w:val="center"/>
          </w:tcPr>
          <w:p w14:paraId="441E909D">
            <w:pPr>
              <w:pStyle w:val="5"/>
              <w:spacing w:before="65" w:line="287" w:lineRule="auto"/>
              <w:ind w:right="108"/>
              <w:jc w:val="left"/>
              <w:rPr>
                <w:sz w:val="20"/>
                <w:szCs w:val="20"/>
              </w:rPr>
            </w:pPr>
            <w:r>
              <w:rPr>
                <w:spacing w:val="-1"/>
                <w:sz w:val="20"/>
                <w:szCs w:val="20"/>
              </w:rPr>
              <w:t>遇突发事件，立即上报、并紧</w:t>
            </w:r>
            <w:r>
              <w:rPr>
                <w:spacing w:val="2"/>
                <w:sz w:val="20"/>
                <w:szCs w:val="20"/>
              </w:rPr>
              <w:t>急</w:t>
            </w:r>
            <w:r>
              <w:rPr>
                <w:rFonts w:hint="eastAsia"/>
                <w:spacing w:val="2"/>
                <w:sz w:val="20"/>
                <w:szCs w:val="20"/>
                <w:lang w:eastAsia="zh-CN"/>
              </w:rPr>
              <w:t>启动</w:t>
            </w:r>
            <w:r>
              <w:rPr>
                <w:spacing w:val="2"/>
                <w:sz w:val="20"/>
                <w:szCs w:val="20"/>
              </w:rPr>
              <w:t>防汛特情预案，果断</w:t>
            </w:r>
            <w:r>
              <w:rPr>
                <w:spacing w:val="-1"/>
                <w:sz w:val="20"/>
                <w:szCs w:val="20"/>
              </w:rPr>
              <w:t>采取应急措施</w:t>
            </w:r>
          </w:p>
        </w:tc>
        <w:tc>
          <w:tcPr>
            <w:tcW w:w="2757" w:type="dxa"/>
            <w:vAlign w:val="center"/>
          </w:tcPr>
          <w:p w14:paraId="3892C73D">
            <w:pPr>
              <w:pStyle w:val="5"/>
              <w:spacing w:before="60" w:line="291" w:lineRule="auto"/>
              <w:ind w:right="131"/>
              <w:jc w:val="left"/>
              <w:rPr>
                <w:sz w:val="20"/>
                <w:szCs w:val="20"/>
              </w:rPr>
            </w:pPr>
            <w:r>
              <w:rPr>
                <w:sz w:val="20"/>
                <w:szCs w:val="20"/>
              </w:rPr>
              <w:t>突发事件未及时上报每次扣2</w:t>
            </w:r>
            <w:r>
              <w:rPr>
                <w:spacing w:val="-6"/>
                <w:sz w:val="20"/>
                <w:szCs w:val="20"/>
              </w:rPr>
              <w:t>分；</w:t>
            </w:r>
            <w:r>
              <w:rPr>
                <w:spacing w:val="-1"/>
                <w:sz w:val="20"/>
                <w:szCs w:val="20"/>
              </w:rPr>
              <w:t>突发事件后未启动应急措施，</w:t>
            </w:r>
            <w:r>
              <w:rPr>
                <w:spacing w:val="16"/>
                <w:sz w:val="20"/>
                <w:szCs w:val="20"/>
              </w:rPr>
              <w:t>每次扣5分；</w:t>
            </w:r>
            <w:r>
              <w:rPr>
                <w:spacing w:val="1"/>
                <w:sz w:val="20"/>
                <w:szCs w:val="20"/>
              </w:rPr>
              <w:t>未果断采取应急措施造成的</w:t>
            </w:r>
            <w:r>
              <w:rPr>
                <w:sz w:val="20"/>
                <w:szCs w:val="20"/>
              </w:rPr>
              <w:t>损失由中标人赔偿。</w:t>
            </w:r>
          </w:p>
        </w:tc>
        <w:tc>
          <w:tcPr>
            <w:tcW w:w="1009" w:type="dxa"/>
            <w:vAlign w:val="top"/>
          </w:tcPr>
          <w:p w14:paraId="1B9F3984">
            <w:pPr>
              <w:spacing w:line="263" w:lineRule="auto"/>
              <w:jc w:val="left"/>
              <w:rPr>
                <w:rFonts w:ascii="Arial"/>
                <w:sz w:val="21"/>
              </w:rPr>
            </w:pPr>
          </w:p>
          <w:p w14:paraId="259736AA">
            <w:pPr>
              <w:spacing w:line="263" w:lineRule="auto"/>
              <w:jc w:val="left"/>
              <w:rPr>
                <w:rFonts w:ascii="Arial"/>
                <w:sz w:val="21"/>
              </w:rPr>
            </w:pPr>
          </w:p>
          <w:p w14:paraId="11D6B40D">
            <w:pPr>
              <w:spacing w:line="264" w:lineRule="auto"/>
              <w:jc w:val="left"/>
              <w:rPr>
                <w:rFonts w:ascii="Arial"/>
                <w:sz w:val="21"/>
              </w:rPr>
            </w:pPr>
          </w:p>
          <w:p w14:paraId="0E356F3F">
            <w:pPr>
              <w:pStyle w:val="5"/>
              <w:spacing w:before="65"/>
              <w:ind w:left="445"/>
              <w:jc w:val="left"/>
              <w:rPr>
                <w:sz w:val="20"/>
                <w:szCs w:val="20"/>
              </w:rPr>
            </w:pPr>
            <w:r>
              <w:rPr>
                <w:sz w:val="20"/>
                <w:szCs w:val="20"/>
              </w:rPr>
              <w:t>8</w:t>
            </w:r>
          </w:p>
        </w:tc>
        <w:tc>
          <w:tcPr>
            <w:tcW w:w="1119" w:type="dxa"/>
            <w:vAlign w:val="top"/>
          </w:tcPr>
          <w:p w14:paraId="051B22CE">
            <w:pPr>
              <w:jc w:val="left"/>
              <w:rPr>
                <w:rFonts w:ascii="Arial"/>
                <w:sz w:val="21"/>
              </w:rPr>
            </w:pPr>
          </w:p>
        </w:tc>
        <w:tc>
          <w:tcPr>
            <w:tcW w:w="2283" w:type="dxa"/>
            <w:vAlign w:val="top"/>
          </w:tcPr>
          <w:p w14:paraId="797A93DA">
            <w:pPr>
              <w:jc w:val="left"/>
              <w:rPr>
                <w:rFonts w:ascii="Arial"/>
                <w:sz w:val="21"/>
              </w:rPr>
            </w:pPr>
          </w:p>
        </w:tc>
      </w:tr>
      <w:tr w14:paraId="5A1048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66" w:hRule="atLeast"/>
        </w:trPr>
        <w:tc>
          <w:tcPr>
            <w:tcW w:w="644" w:type="dxa"/>
            <w:vAlign w:val="top"/>
          </w:tcPr>
          <w:p w14:paraId="2FB1BCA5">
            <w:pPr>
              <w:spacing w:line="278" w:lineRule="auto"/>
              <w:jc w:val="left"/>
              <w:rPr>
                <w:rFonts w:ascii="Arial"/>
                <w:sz w:val="21"/>
              </w:rPr>
            </w:pPr>
          </w:p>
          <w:p w14:paraId="032BC615">
            <w:pPr>
              <w:spacing w:line="278" w:lineRule="auto"/>
              <w:jc w:val="left"/>
              <w:rPr>
                <w:rFonts w:ascii="Arial"/>
                <w:sz w:val="21"/>
              </w:rPr>
            </w:pPr>
          </w:p>
          <w:p w14:paraId="7498F9E0">
            <w:pPr>
              <w:spacing w:line="278" w:lineRule="auto"/>
              <w:jc w:val="left"/>
              <w:rPr>
                <w:rFonts w:ascii="Arial"/>
                <w:sz w:val="21"/>
              </w:rPr>
            </w:pPr>
          </w:p>
          <w:p w14:paraId="514E1AEC">
            <w:pPr>
              <w:spacing w:line="278" w:lineRule="auto"/>
              <w:jc w:val="left"/>
              <w:rPr>
                <w:rFonts w:ascii="Arial"/>
                <w:sz w:val="21"/>
              </w:rPr>
            </w:pPr>
          </w:p>
          <w:p w14:paraId="1366E9B2">
            <w:pPr>
              <w:pStyle w:val="5"/>
              <w:spacing w:before="65" w:line="241" w:lineRule="auto"/>
              <w:ind w:left="215"/>
              <w:jc w:val="left"/>
              <w:rPr>
                <w:sz w:val="20"/>
                <w:szCs w:val="20"/>
              </w:rPr>
            </w:pPr>
            <w:r>
              <w:rPr>
                <w:spacing w:val="-6"/>
                <w:sz w:val="20"/>
                <w:szCs w:val="20"/>
              </w:rPr>
              <w:t>11</w:t>
            </w:r>
          </w:p>
        </w:tc>
        <w:tc>
          <w:tcPr>
            <w:tcW w:w="2828" w:type="dxa"/>
            <w:vAlign w:val="center"/>
          </w:tcPr>
          <w:p w14:paraId="4BB32795">
            <w:pPr>
              <w:pStyle w:val="5"/>
              <w:spacing w:before="65" w:line="295" w:lineRule="auto"/>
              <w:jc w:val="left"/>
              <w:rPr>
                <w:sz w:val="20"/>
                <w:szCs w:val="20"/>
              </w:rPr>
            </w:pPr>
            <w:r>
              <w:rPr>
                <w:spacing w:val="-5"/>
                <w:sz w:val="20"/>
                <w:szCs w:val="20"/>
              </w:rPr>
              <w:t>按泵闸控制运行要求，配备必</w:t>
            </w:r>
            <w:r>
              <w:rPr>
                <w:spacing w:val="1"/>
                <w:sz w:val="20"/>
                <w:szCs w:val="20"/>
              </w:rPr>
              <w:t>要的运行当班人员，遇到台风、</w:t>
            </w:r>
            <w:r>
              <w:rPr>
                <w:spacing w:val="-1"/>
                <w:sz w:val="20"/>
                <w:szCs w:val="20"/>
              </w:rPr>
              <w:t>暴雨等突发性灾害天气，管理</w:t>
            </w:r>
            <w:r>
              <w:rPr>
                <w:spacing w:val="4"/>
                <w:sz w:val="20"/>
                <w:szCs w:val="20"/>
              </w:rPr>
              <w:t xml:space="preserve"> </w:t>
            </w:r>
            <w:r>
              <w:rPr>
                <w:spacing w:val="2"/>
                <w:sz w:val="20"/>
                <w:szCs w:val="20"/>
              </w:rPr>
              <w:t>处通知要求全员到岗的，必须</w:t>
            </w:r>
            <w:r>
              <w:rPr>
                <w:spacing w:val="3"/>
                <w:sz w:val="20"/>
                <w:szCs w:val="20"/>
              </w:rPr>
              <w:t xml:space="preserve"> </w:t>
            </w:r>
            <w:r>
              <w:rPr>
                <w:sz w:val="20"/>
                <w:szCs w:val="20"/>
              </w:rPr>
              <w:t>按要求时间内到岗。</w:t>
            </w:r>
          </w:p>
        </w:tc>
        <w:tc>
          <w:tcPr>
            <w:tcW w:w="2757" w:type="dxa"/>
            <w:vAlign w:val="center"/>
          </w:tcPr>
          <w:p w14:paraId="5C9CC894">
            <w:pPr>
              <w:pStyle w:val="5"/>
              <w:spacing w:before="74" w:line="288" w:lineRule="auto"/>
              <w:ind w:right="44"/>
              <w:jc w:val="left"/>
              <w:rPr>
                <w:sz w:val="20"/>
                <w:szCs w:val="20"/>
              </w:rPr>
            </w:pPr>
            <w:r>
              <w:rPr>
                <w:spacing w:val="-1"/>
                <w:sz w:val="20"/>
                <w:szCs w:val="20"/>
              </w:rPr>
              <w:t>工程运行时，发现未按要求配</w:t>
            </w:r>
            <w:r>
              <w:rPr>
                <w:spacing w:val="1"/>
                <w:sz w:val="20"/>
                <w:szCs w:val="20"/>
              </w:rPr>
              <w:t xml:space="preserve"> </w:t>
            </w:r>
            <w:r>
              <w:rPr>
                <w:spacing w:val="9"/>
                <w:sz w:val="20"/>
                <w:szCs w:val="20"/>
              </w:rPr>
              <w:t>备运行人员一次扣5分；</w:t>
            </w:r>
            <w:r>
              <w:rPr>
                <w:spacing w:val="-1"/>
                <w:sz w:val="20"/>
                <w:szCs w:val="20"/>
              </w:rPr>
              <w:t>工程停运时，未按要求配备值</w:t>
            </w:r>
            <w:r>
              <w:rPr>
                <w:spacing w:val="1"/>
                <w:sz w:val="20"/>
                <w:szCs w:val="20"/>
              </w:rPr>
              <w:t xml:space="preserve"> </w:t>
            </w:r>
            <w:r>
              <w:rPr>
                <w:spacing w:val="11"/>
                <w:sz w:val="20"/>
                <w:szCs w:val="20"/>
              </w:rPr>
              <w:t>班人员一次扣3分；</w:t>
            </w:r>
            <w:r>
              <w:rPr>
                <w:spacing w:val="1"/>
                <w:sz w:val="20"/>
                <w:szCs w:val="20"/>
              </w:rPr>
              <w:t xml:space="preserve">突发性灾害天气，未按照通知 </w:t>
            </w:r>
            <w:r>
              <w:rPr>
                <w:spacing w:val="9"/>
                <w:sz w:val="20"/>
                <w:szCs w:val="20"/>
              </w:rPr>
              <w:t>要求执行的一次扣5分；</w:t>
            </w:r>
            <w:r>
              <w:rPr>
                <w:spacing w:val="1"/>
                <w:sz w:val="20"/>
                <w:szCs w:val="20"/>
              </w:rPr>
              <w:t>不服从甲方人员调配，一次扣</w:t>
            </w:r>
            <w:r>
              <w:rPr>
                <w:spacing w:val="-1"/>
                <w:sz w:val="20"/>
                <w:szCs w:val="20"/>
              </w:rPr>
              <w:t>5分。</w:t>
            </w:r>
          </w:p>
        </w:tc>
        <w:tc>
          <w:tcPr>
            <w:tcW w:w="1009" w:type="dxa"/>
            <w:vAlign w:val="top"/>
          </w:tcPr>
          <w:p w14:paraId="3543CEBA">
            <w:pPr>
              <w:spacing w:line="277" w:lineRule="auto"/>
              <w:jc w:val="left"/>
              <w:rPr>
                <w:rFonts w:ascii="Arial"/>
                <w:sz w:val="21"/>
              </w:rPr>
            </w:pPr>
          </w:p>
          <w:p w14:paraId="07E98C4D">
            <w:pPr>
              <w:spacing w:line="278" w:lineRule="auto"/>
              <w:jc w:val="left"/>
              <w:rPr>
                <w:rFonts w:ascii="Arial"/>
                <w:sz w:val="21"/>
              </w:rPr>
            </w:pPr>
          </w:p>
          <w:p w14:paraId="004A7216">
            <w:pPr>
              <w:spacing w:line="278" w:lineRule="auto"/>
              <w:jc w:val="left"/>
              <w:rPr>
                <w:rFonts w:ascii="Arial"/>
                <w:sz w:val="21"/>
              </w:rPr>
            </w:pPr>
          </w:p>
          <w:p w14:paraId="73EE0C36">
            <w:pPr>
              <w:spacing w:line="278" w:lineRule="auto"/>
              <w:jc w:val="left"/>
              <w:rPr>
                <w:rFonts w:ascii="Arial"/>
                <w:sz w:val="21"/>
              </w:rPr>
            </w:pPr>
          </w:p>
          <w:p w14:paraId="25C412E7">
            <w:pPr>
              <w:pStyle w:val="5"/>
              <w:spacing w:before="65"/>
              <w:ind w:left="445"/>
              <w:jc w:val="left"/>
              <w:rPr>
                <w:sz w:val="20"/>
                <w:szCs w:val="20"/>
              </w:rPr>
            </w:pPr>
            <w:r>
              <w:rPr>
                <w:sz w:val="20"/>
                <w:szCs w:val="20"/>
              </w:rPr>
              <w:t>8</w:t>
            </w:r>
          </w:p>
        </w:tc>
        <w:tc>
          <w:tcPr>
            <w:tcW w:w="1119" w:type="dxa"/>
            <w:vAlign w:val="top"/>
          </w:tcPr>
          <w:p w14:paraId="4A16D7DE">
            <w:pPr>
              <w:jc w:val="left"/>
              <w:rPr>
                <w:rFonts w:ascii="Arial"/>
                <w:sz w:val="21"/>
              </w:rPr>
            </w:pPr>
          </w:p>
        </w:tc>
        <w:tc>
          <w:tcPr>
            <w:tcW w:w="2283" w:type="dxa"/>
            <w:vAlign w:val="top"/>
          </w:tcPr>
          <w:p w14:paraId="49A6079D">
            <w:pPr>
              <w:jc w:val="left"/>
              <w:rPr>
                <w:rFonts w:ascii="Arial"/>
                <w:sz w:val="21"/>
              </w:rPr>
            </w:pPr>
          </w:p>
        </w:tc>
      </w:tr>
      <w:tr w14:paraId="5691AE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644" w:type="dxa"/>
            <w:vAlign w:val="top"/>
          </w:tcPr>
          <w:p w14:paraId="0D6B8BD4">
            <w:pPr>
              <w:jc w:val="left"/>
              <w:rPr>
                <w:rFonts w:ascii="Arial"/>
                <w:sz w:val="21"/>
              </w:rPr>
            </w:pPr>
          </w:p>
        </w:tc>
        <w:tc>
          <w:tcPr>
            <w:tcW w:w="2828" w:type="dxa"/>
            <w:vAlign w:val="top"/>
          </w:tcPr>
          <w:p w14:paraId="1476A21C">
            <w:pPr>
              <w:pStyle w:val="5"/>
              <w:spacing w:before="139" w:line="221" w:lineRule="auto"/>
              <w:ind w:left="1200"/>
              <w:jc w:val="left"/>
              <w:rPr>
                <w:sz w:val="20"/>
                <w:szCs w:val="20"/>
              </w:rPr>
            </w:pPr>
            <w:r>
              <w:rPr>
                <w:spacing w:val="-3"/>
                <w:sz w:val="20"/>
                <w:szCs w:val="20"/>
              </w:rPr>
              <w:t>合计</w:t>
            </w:r>
          </w:p>
        </w:tc>
        <w:tc>
          <w:tcPr>
            <w:tcW w:w="2757" w:type="dxa"/>
            <w:vAlign w:val="top"/>
          </w:tcPr>
          <w:p w14:paraId="3FAE873B">
            <w:pPr>
              <w:jc w:val="center"/>
              <w:rPr>
                <w:rFonts w:ascii="Arial"/>
                <w:sz w:val="21"/>
              </w:rPr>
            </w:pPr>
          </w:p>
        </w:tc>
        <w:tc>
          <w:tcPr>
            <w:tcW w:w="1009" w:type="dxa"/>
            <w:vAlign w:val="top"/>
          </w:tcPr>
          <w:p w14:paraId="3729376D">
            <w:pPr>
              <w:pStyle w:val="5"/>
              <w:spacing w:before="65"/>
              <w:jc w:val="center"/>
              <w:rPr>
                <w:sz w:val="20"/>
                <w:szCs w:val="20"/>
              </w:rPr>
            </w:pPr>
            <w:r>
              <w:rPr>
                <w:sz w:val="20"/>
                <w:szCs w:val="20"/>
              </w:rPr>
              <w:t>100</w:t>
            </w:r>
          </w:p>
        </w:tc>
        <w:tc>
          <w:tcPr>
            <w:tcW w:w="1119" w:type="dxa"/>
            <w:vAlign w:val="top"/>
          </w:tcPr>
          <w:p w14:paraId="487E82F4">
            <w:pPr>
              <w:pStyle w:val="5"/>
              <w:spacing w:before="65"/>
              <w:ind w:left="445"/>
              <w:jc w:val="left"/>
              <w:rPr>
                <w:rFonts w:hint="default"/>
                <w:sz w:val="20"/>
                <w:szCs w:val="20"/>
                <w:lang w:val="en-US" w:eastAsia="zh-CN"/>
              </w:rPr>
            </w:pPr>
          </w:p>
        </w:tc>
        <w:tc>
          <w:tcPr>
            <w:tcW w:w="2283" w:type="dxa"/>
            <w:vAlign w:val="top"/>
          </w:tcPr>
          <w:p w14:paraId="650695C5">
            <w:pPr>
              <w:jc w:val="left"/>
              <w:rPr>
                <w:rFonts w:ascii="Arial"/>
                <w:sz w:val="21"/>
              </w:rPr>
            </w:pPr>
          </w:p>
        </w:tc>
      </w:tr>
      <w:tr w14:paraId="53F5B1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644" w:type="dxa"/>
            <w:vAlign w:val="top"/>
          </w:tcPr>
          <w:p w14:paraId="5027E3D7">
            <w:pPr>
              <w:jc w:val="left"/>
              <w:rPr>
                <w:rFonts w:ascii="Arial"/>
                <w:sz w:val="21"/>
              </w:rPr>
            </w:pPr>
          </w:p>
        </w:tc>
        <w:tc>
          <w:tcPr>
            <w:tcW w:w="2828" w:type="dxa"/>
            <w:vAlign w:val="top"/>
          </w:tcPr>
          <w:p w14:paraId="454CE430">
            <w:pPr>
              <w:pStyle w:val="5"/>
              <w:spacing w:before="139" w:line="221" w:lineRule="auto"/>
              <w:ind w:left="1200"/>
              <w:jc w:val="left"/>
              <w:rPr>
                <w:spacing w:val="-3"/>
                <w:sz w:val="20"/>
                <w:szCs w:val="20"/>
              </w:rPr>
            </w:pPr>
          </w:p>
        </w:tc>
        <w:tc>
          <w:tcPr>
            <w:tcW w:w="2757" w:type="dxa"/>
            <w:vAlign w:val="top"/>
          </w:tcPr>
          <w:p w14:paraId="5FA1F16A">
            <w:pPr>
              <w:jc w:val="left"/>
              <w:rPr>
                <w:rFonts w:ascii="Arial"/>
                <w:sz w:val="21"/>
              </w:rPr>
            </w:pPr>
          </w:p>
        </w:tc>
        <w:tc>
          <w:tcPr>
            <w:tcW w:w="1009" w:type="dxa"/>
            <w:vAlign w:val="top"/>
          </w:tcPr>
          <w:p w14:paraId="6DDD6F13">
            <w:pPr>
              <w:pStyle w:val="5"/>
              <w:spacing w:before="65"/>
              <w:ind w:left="445"/>
              <w:jc w:val="left"/>
              <w:rPr>
                <w:sz w:val="20"/>
                <w:szCs w:val="20"/>
              </w:rPr>
            </w:pPr>
          </w:p>
        </w:tc>
        <w:tc>
          <w:tcPr>
            <w:tcW w:w="1119" w:type="dxa"/>
            <w:vAlign w:val="top"/>
          </w:tcPr>
          <w:p w14:paraId="61B5B8B0">
            <w:pPr>
              <w:pStyle w:val="5"/>
              <w:spacing w:before="65"/>
              <w:ind w:left="445"/>
              <w:jc w:val="left"/>
              <w:rPr>
                <w:rFonts w:hint="eastAsia"/>
                <w:sz w:val="20"/>
                <w:szCs w:val="20"/>
                <w:lang w:val="en-US" w:eastAsia="zh-CN"/>
              </w:rPr>
            </w:pPr>
          </w:p>
        </w:tc>
        <w:tc>
          <w:tcPr>
            <w:tcW w:w="2283" w:type="dxa"/>
            <w:vAlign w:val="top"/>
          </w:tcPr>
          <w:p w14:paraId="2D7AF86E">
            <w:pPr>
              <w:jc w:val="left"/>
              <w:rPr>
                <w:rFonts w:ascii="Arial"/>
                <w:sz w:val="21"/>
              </w:rPr>
            </w:pPr>
          </w:p>
        </w:tc>
      </w:tr>
    </w:tbl>
    <w:p w14:paraId="471462FB">
      <w:pPr>
        <w:spacing w:before="20"/>
        <w:jc w:val="left"/>
      </w:pPr>
    </w:p>
    <w:p w14:paraId="766138F3">
      <w:pPr>
        <w:keepNext w:val="0"/>
        <w:keepLines w:val="0"/>
        <w:pageBreakBefore w:val="0"/>
        <w:widowControl w:val="0"/>
        <w:kinsoku/>
        <w:wordWrap/>
        <w:overflowPunct/>
        <w:topLinePunct w:val="0"/>
        <w:autoSpaceDE/>
        <w:autoSpaceDN/>
        <w:bidi w:val="0"/>
        <w:adjustRightInd/>
        <w:snapToGrid/>
        <w:spacing w:line="520" w:lineRule="exact"/>
        <w:ind w:left="0" w:right="0" w:firstLine="608" w:firstLineChars="200"/>
        <w:textAlignment w:val="auto"/>
        <w:rPr>
          <w:rFonts w:hint="default" w:ascii="仿宋" w:hAnsi="仿宋" w:eastAsia="仿宋" w:cs="仿宋"/>
          <w:spacing w:val="17"/>
          <w:sz w:val="27"/>
          <w:szCs w:val="27"/>
          <w:lang w:val="en-US" w:eastAsia="zh-CN"/>
        </w:rPr>
      </w:pPr>
      <w:r>
        <w:rPr>
          <w:rFonts w:ascii="仿宋" w:hAnsi="仿宋" w:eastAsia="仿宋" w:cs="仿宋"/>
          <w:spacing w:val="17"/>
          <w:sz w:val="27"/>
          <w:szCs w:val="27"/>
        </w:rPr>
        <w:t>考核说明：</w:t>
      </w:r>
    </w:p>
    <w:p w14:paraId="23E6E274">
      <w:pPr>
        <w:keepNext w:val="0"/>
        <w:keepLines w:val="0"/>
        <w:pageBreakBefore w:val="0"/>
        <w:widowControl w:val="0"/>
        <w:kinsoku/>
        <w:wordWrap/>
        <w:overflowPunct/>
        <w:topLinePunct w:val="0"/>
        <w:autoSpaceDE/>
        <w:autoSpaceDN/>
        <w:bidi w:val="0"/>
        <w:adjustRightInd/>
        <w:snapToGrid/>
        <w:spacing w:line="520" w:lineRule="exact"/>
        <w:ind w:left="0" w:right="0" w:firstLine="608" w:firstLineChars="200"/>
        <w:textAlignment w:val="auto"/>
        <w:rPr>
          <w:rFonts w:hint="default" w:ascii="Times New Roman" w:hAnsi="Times New Roman" w:eastAsia="仿宋" w:cs="Times New Roman"/>
          <w:sz w:val="27"/>
          <w:szCs w:val="27"/>
        </w:rPr>
      </w:pPr>
      <w:r>
        <w:rPr>
          <w:rFonts w:hint="default" w:ascii="Times New Roman" w:hAnsi="Times New Roman" w:eastAsia="宋体" w:cs="Times New Roman"/>
          <w:spacing w:val="17"/>
          <w:sz w:val="27"/>
          <w:szCs w:val="27"/>
        </w:rPr>
        <w:t>1.</w:t>
      </w:r>
      <w:r>
        <w:rPr>
          <w:rFonts w:hint="default" w:ascii="Times New Roman" w:hAnsi="Times New Roman" w:eastAsia="宋体" w:cs="Times New Roman"/>
          <w:spacing w:val="-65"/>
          <w:sz w:val="27"/>
          <w:szCs w:val="27"/>
        </w:rPr>
        <w:t xml:space="preserve"> </w:t>
      </w:r>
      <w:r>
        <w:rPr>
          <w:rFonts w:hint="default" w:ascii="Times New Roman" w:hAnsi="Times New Roman" w:eastAsia="仿宋" w:cs="Times New Roman"/>
          <w:spacing w:val="17"/>
          <w:sz w:val="27"/>
          <w:szCs w:val="27"/>
          <w:lang w:val="en-US" w:eastAsia="zh-CN"/>
        </w:rPr>
        <w:t>双山南北闸每半年进行一次考核，</w:t>
      </w:r>
      <w:r>
        <w:rPr>
          <w:rFonts w:hint="default" w:ascii="Times New Roman" w:hAnsi="Times New Roman" w:eastAsia="仿宋" w:cs="Times New Roman"/>
          <w:spacing w:val="17"/>
          <w:sz w:val="27"/>
          <w:szCs w:val="27"/>
        </w:rPr>
        <w:t>半年度考核分数在95分以下的，每低1</w:t>
      </w:r>
      <w:r>
        <w:rPr>
          <w:rFonts w:hint="default" w:ascii="Times New Roman" w:hAnsi="Times New Roman" w:eastAsia="仿宋" w:cs="Times New Roman"/>
          <w:spacing w:val="16"/>
          <w:sz w:val="27"/>
          <w:szCs w:val="27"/>
        </w:rPr>
        <w:t>分扣当次管理经费的1%</w:t>
      </w:r>
      <w:r>
        <w:rPr>
          <w:rFonts w:hint="eastAsia" w:ascii="Times New Roman" w:hAnsi="Times New Roman" w:eastAsia="仿宋" w:cs="Times New Roman"/>
          <w:spacing w:val="16"/>
          <w:sz w:val="27"/>
          <w:szCs w:val="27"/>
          <w:lang w:eastAsia="zh-CN"/>
        </w:rPr>
        <w:t>，</w:t>
      </w:r>
      <w:r>
        <w:rPr>
          <w:rFonts w:hint="default" w:ascii="Times New Roman" w:hAnsi="Times New Roman" w:eastAsia="仿宋" w:cs="Times New Roman"/>
          <w:spacing w:val="16"/>
          <w:sz w:val="27"/>
          <w:szCs w:val="27"/>
        </w:rPr>
        <w:t>累积两次</w:t>
      </w:r>
      <w:r>
        <w:rPr>
          <w:rFonts w:hint="default" w:ascii="Times New Roman" w:hAnsi="Times New Roman" w:eastAsia="仿宋" w:cs="Times New Roman"/>
          <w:sz w:val="27"/>
          <w:szCs w:val="27"/>
        </w:rPr>
        <w:t xml:space="preserve"> </w:t>
      </w:r>
      <w:r>
        <w:rPr>
          <w:rFonts w:hint="default" w:ascii="Times New Roman" w:hAnsi="Times New Roman" w:eastAsia="仿宋" w:cs="Times New Roman"/>
          <w:spacing w:val="11"/>
          <w:sz w:val="27"/>
          <w:szCs w:val="27"/>
        </w:rPr>
        <w:t>以上考核分数低于90分的，甲方有权单方面终止乙方</w:t>
      </w:r>
      <w:r>
        <w:rPr>
          <w:rFonts w:hint="default" w:ascii="Times New Roman" w:hAnsi="Times New Roman" w:eastAsia="仿宋" w:cs="Times New Roman"/>
          <w:spacing w:val="10"/>
          <w:sz w:val="27"/>
          <w:szCs w:val="27"/>
        </w:rPr>
        <w:t>的服务资格；</w:t>
      </w:r>
    </w:p>
    <w:p w14:paraId="2CBDBBC0">
      <w:pPr>
        <w:keepNext w:val="0"/>
        <w:keepLines w:val="0"/>
        <w:pageBreakBefore w:val="0"/>
        <w:widowControl w:val="0"/>
        <w:kinsoku/>
        <w:wordWrap/>
        <w:overflowPunct/>
        <w:topLinePunct w:val="0"/>
        <w:autoSpaceDE/>
        <w:autoSpaceDN/>
        <w:bidi w:val="0"/>
        <w:adjustRightInd/>
        <w:snapToGrid/>
        <w:spacing w:line="520" w:lineRule="exact"/>
        <w:ind w:left="0" w:right="0" w:firstLine="560" w:firstLineChars="200"/>
        <w:textAlignment w:val="auto"/>
        <w:rPr>
          <w:rFonts w:hint="default" w:ascii="Times New Roman" w:hAnsi="Times New Roman" w:eastAsia="仿宋" w:cs="Times New Roman"/>
          <w:spacing w:val="5"/>
          <w:sz w:val="27"/>
          <w:szCs w:val="27"/>
          <w:lang w:eastAsia="zh-CN"/>
        </w:rPr>
      </w:pPr>
      <w:r>
        <w:rPr>
          <w:rFonts w:hint="default" w:ascii="Times New Roman" w:hAnsi="Times New Roman" w:eastAsia="宋体" w:cs="Times New Roman"/>
          <w:spacing w:val="5"/>
          <w:sz w:val="27"/>
          <w:szCs w:val="27"/>
        </w:rPr>
        <w:t>2.</w:t>
      </w:r>
      <w:r>
        <w:rPr>
          <w:rFonts w:hint="default" w:ascii="Times New Roman" w:hAnsi="Times New Roman" w:eastAsia="仿宋" w:cs="Times New Roman"/>
          <w:spacing w:val="5"/>
          <w:sz w:val="27"/>
          <w:szCs w:val="27"/>
        </w:rPr>
        <w:t>甲方后期可以根据运行要求对考核表进行调整</w:t>
      </w:r>
      <w:r>
        <w:rPr>
          <w:rFonts w:hint="default" w:ascii="Times New Roman" w:hAnsi="Times New Roman" w:eastAsia="仿宋" w:cs="Times New Roman"/>
          <w:spacing w:val="5"/>
          <w:sz w:val="27"/>
          <w:szCs w:val="27"/>
          <w:lang w:eastAsia="zh-CN"/>
        </w:rPr>
        <w:t>。</w:t>
      </w:r>
    </w:p>
    <w:p w14:paraId="614C32BA">
      <w:pPr>
        <w:keepNext w:val="0"/>
        <w:keepLines w:val="0"/>
        <w:pageBreakBefore w:val="0"/>
        <w:widowControl w:val="0"/>
        <w:kinsoku/>
        <w:wordWrap/>
        <w:overflowPunct/>
        <w:topLinePunct w:val="0"/>
        <w:autoSpaceDE/>
        <w:autoSpaceDN/>
        <w:bidi w:val="0"/>
        <w:adjustRightInd/>
        <w:snapToGrid/>
        <w:spacing w:line="520" w:lineRule="exact"/>
        <w:ind w:left="0" w:right="0" w:firstLine="560" w:firstLineChars="200"/>
        <w:textAlignment w:val="auto"/>
        <w:rPr>
          <w:rFonts w:hint="default" w:ascii="Times New Roman" w:hAnsi="Times New Roman" w:eastAsia="仿宋" w:cs="Times New Roman"/>
          <w:spacing w:val="5"/>
          <w:sz w:val="27"/>
          <w:szCs w:val="27"/>
          <w:lang w:val="en-US" w:eastAsia="zh-CN"/>
        </w:rPr>
      </w:pPr>
      <w:r>
        <w:rPr>
          <w:rFonts w:hint="default" w:ascii="Times New Roman" w:hAnsi="Times New Roman" w:eastAsia="仿宋" w:cs="Times New Roman"/>
          <w:spacing w:val="5"/>
          <w:sz w:val="27"/>
          <w:szCs w:val="27"/>
          <w:lang w:val="en-US" w:eastAsia="zh-CN"/>
        </w:rPr>
        <w:t>3.本考核细则作为双山香山旅游度假区</w:t>
      </w:r>
      <w:r>
        <w:rPr>
          <w:rFonts w:hint="eastAsia" w:ascii="Times New Roman" w:hAnsi="Times New Roman" w:eastAsia="仿宋" w:cs="Times New Roman"/>
          <w:spacing w:val="5"/>
          <w:sz w:val="27"/>
          <w:szCs w:val="27"/>
          <w:lang w:val="en-US" w:eastAsia="zh-CN"/>
        </w:rPr>
        <w:t>南北闸</w:t>
      </w:r>
      <w:r>
        <w:rPr>
          <w:rFonts w:hint="default" w:ascii="Times New Roman" w:hAnsi="Times New Roman" w:eastAsia="仿宋" w:cs="Times New Roman"/>
          <w:spacing w:val="5"/>
          <w:sz w:val="27"/>
          <w:szCs w:val="27"/>
          <w:lang w:val="en-US" w:eastAsia="zh-CN"/>
        </w:rPr>
        <w:t>委托管理协议的补充条款，与协议具有同等法律效力，未尽事宜由甲乙双方协商解决。</w:t>
      </w:r>
    </w:p>
    <w:p w14:paraId="2F81569B">
      <w:pPr>
        <w:keepNext w:val="0"/>
        <w:keepLines w:val="0"/>
        <w:pageBreakBefore w:val="0"/>
        <w:widowControl w:val="0"/>
        <w:kinsoku/>
        <w:wordWrap/>
        <w:overflowPunct/>
        <w:topLinePunct w:val="0"/>
        <w:autoSpaceDE/>
        <w:autoSpaceDN/>
        <w:bidi w:val="0"/>
        <w:adjustRightInd/>
        <w:snapToGrid/>
        <w:spacing w:line="520" w:lineRule="exact"/>
        <w:ind w:left="0" w:right="0" w:firstLine="560" w:firstLineChars="200"/>
        <w:textAlignment w:val="auto"/>
      </w:pPr>
      <w:r>
        <w:rPr>
          <w:rFonts w:hint="default" w:ascii="Times New Roman" w:hAnsi="Times New Roman" w:eastAsia="仿宋" w:cs="Times New Roman"/>
          <w:spacing w:val="5"/>
          <w:sz w:val="27"/>
          <w:szCs w:val="27"/>
          <w:lang w:val="en-US" w:eastAsia="zh-CN"/>
        </w:rPr>
        <w:t>4.本考核细则适</w:t>
      </w:r>
      <w:r>
        <w:rPr>
          <w:rFonts w:hint="eastAsia" w:ascii="Times New Roman" w:hAnsi="Times New Roman" w:eastAsia="仿宋" w:cs="Times New Roman"/>
          <w:spacing w:val="5"/>
          <w:sz w:val="27"/>
          <w:szCs w:val="27"/>
          <w:lang w:val="en-US" w:eastAsia="zh-CN"/>
        </w:rPr>
        <w:t>用于双山南北闸</w:t>
      </w:r>
      <w:r>
        <w:rPr>
          <w:rFonts w:hint="default" w:ascii="Times New Roman" w:hAnsi="Times New Roman" w:eastAsia="仿宋" w:cs="Times New Roman"/>
          <w:spacing w:val="5"/>
          <w:sz w:val="27"/>
          <w:szCs w:val="27"/>
          <w:lang w:val="en-US" w:eastAsia="zh-CN"/>
        </w:rPr>
        <w:t>日常管理考核，由张家港双山香山旅游度假区管理委员会双山岛综合管理部负责解释与执行。</w:t>
      </w:r>
      <w:bookmarkStart w:id="0" w:name="_GoBack"/>
      <w:bookmarkEnd w:id="0"/>
    </w:p>
    <w:sectPr>
      <w:footerReference r:id="rId5"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7E794">
    <w:pPr>
      <w:tabs>
        <w:tab w:val="left" w:pos="5973"/>
      </w:tabs>
      <w:spacing w:line="175" w:lineRule="auto"/>
      <w:rPr>
        <w:rFonts w:hint="eastAsia" w:ascii="Times New Roman" w:hAnsi="Times New Roman" w:eastAsia="宋体" w:cs="Times New Roman"/>
        <w:sz w:val="16"/>
        <w:szCs w:val="16"/>
        <w:lang w:eastAsia="zh-CN"/>
      </w:rPr>
    </w:pPr>
    <w:r>
      <w:rPr>
        <w:sz w:val="16"/>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92894D">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15</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992894D">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15</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5CDFCD">
    <w:pPr>
      <w:spacing w:line="174" w:lineRule="auto"/>
      <w:rPr>
        <w:rFonts w:ascii="Times New Roman" w:hAnsi="Times New Roman" w:eastAsia="Times New Roman" w:cs="Times New Roman"/>
        <w:sz w:val="15"/>
        <w:szCs w:val="15"/>
      </w:rPr>
    </w:pPr>
    <w:r>
      <w:rPr>
        <w:sz w:val="15"/>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DC03EB">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16</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2DC03EB">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16</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38BCE8">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AA3615A"/>
    <w:rsid w:val="3AA361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customStyle="1" w:styleId="5">
    <w:name w:val="Table Text"/>
    <w:basedOn w:val="1"/>
    <w:semiHidden/>
    <w:qFormat/>
    <w:uiPriority w:val="0"/>
    <w:rPr>
      <w:rFonts w:ascii="宋体" w:hAnsi="宋体" w:eastAsia="宋体" w:cs="宋体"/>
      <w:sz w:val="21"/>
      <w:szCs w:val="21"/>
      <w:lang w:val="en-US" w:eastAsia="en-US" w:bidi="ar-SA"/>
    </w:rPr>
  </w:style>
  <w:style w:type="table" w:customStyle="1" w:styleId="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2026-04-27T08:24:00Z</dcterms:created>
  <dc:creator>NTKO</dc:creator>
  <cp:lastModifiedBy>NTKO</cp:lastModifiedBy>
  <dcterms:modified xsi:type="dcterms:W3CDTF">2026-04-27T08:25:01Z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2A527890DE8C4C328F496E8C7A323E50_11</vt:lpwstr>
  </property>
  <property fmtid="{D5CDD505-2E9C-101B-9397-08002B2CF9AE}" pid="4" name="KSOTemplateDocerSaveRecord">
    <vt:lpwstr>eyJoZGlkIjoiNTNhNjMxMjg4MTZkNjMyMmFlMWI3ZTFkZWQ5MWE0ZDAiLCJ1c2VySWQiOiIyNDMxNzg0NjgifQ==</vt:lpwstr>
  </property>
</Properties>
</file>